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6DC" w:rsidRDefault="00EB73C6" w:rsidP="00EB73C6">
      <w:pPr>
        <w:jc w:val="center"/>
        <w:rPr>
          <w:b/>
          <w:u w:val="single"/>
        </w:rPr>
      </w:pPr>
      <w:r w:rsidRPr="000604F5">
        <w:rPr>
          <w:b/>
          <w:u w:val="single"/>
        </w:rPr>
        <w:t>A</w:t>
      </w:r>
      <w:r w:rsidR="000604F5" w:rsidRPr="000604F5">
        <w:rPr>
          <w:b/>
          <w:u w:val="single"/>
        </w:rPr>
        <w:t>ction</w:t>
      </w:r>
      <w:r w:rsidRPr="000604F5">
        <w:rPr>
          <w:b/>
          <w:u w:val="single"/>
        </w:rPr>
        <w:t xml:space="preserve"> </w:t>
      </w:r>
      <w:r w:rsidR="006A4E4E">
        <w:rPr>
          <w:b/>
          <w:u w:val="single"/>
        </w:rPr>
        <w:t>required</w:t>
      </w:r>
      <w:r w:rsidRPr="000604F5">
        <w:rPr>
          <w:b/>
          <w:u w:val="single"/>
        </w:rPr>
        <w:t xml:space="preserve"> </w:t>
      </w:r>
      <w:r w:rsidR="000604F5" w:rsidRPr="000604F5">
        <w:rPr>
          <w:b/>
          <w:u w:val="single"/>
        </w:rPr>
        <w:t xml:space="preserve">summary </w:t>
      </w:r>
      <w:r w:rsidRPr="000604F5">
        <w:rPr>
          <w:b/>
          <w:u w:val="single"/>
        </w:rPr>
        <w:t>from POPI</w:t>
      </w:r>
      <w:r w:rsidR="00EF578D">
        <w:rPr>
          <w:b/>
          <w:u w:val="single"/>
        </w:rPr>
        <w:t>A</w:t>
      </w:r>
      <w:r w:rsidRPr="000604F5">
        <w:rPr>
          <w:b/>
          <w:u w:val="single"/>
        </w:rPr>
        <w:t xml:space="preserve"> </w:t>
      </w:r>
      <w:r w:rsidR="00905897">
        <w:rPr>
          <w:b/>
          <w:u w:val="single"/>
        </w:rPr>
        <w:t>&amp; PAIA Templates in Translate folder</w:t>
      </w:r>
    </w:p>
    <w:p w:rsidR="00EB73C6" w:rsidRDefault="006A4E4E" w:rsidP="00905897">
      <w:pPr>
        <w:jc w:val="center"/>
        <w:rPr>
          <w:b/>
          <w:u w:val="single"/>
        </w:rPr>
      </w:pPr>
      <w:r>
        <w:rPr>
          <w:b/>
          <w:u w:val="single"/>
        </w:rPr>
        <w:t xml:space="preserve">Correct as at </w:t>
      </w:r>
      <w:r w:rsidR="00905897">
        <w:rPr>
          <w:b/>
          <w:u w:val="single"/>
        </w:rPr>
        <w:t>4</w:t>
      </w:r>
      <w:r w:rsidR="00500EDE">
        <w:rPr>
          <w:b/>
          <w:u w:val="single"/>
        </w:rPr>
        <w:t xml:space="preserve"> </w:t>
      </w:r>
      <w:r w:rsidR="00905897">
        <w:rPr>
          <w:b/>
          <w:u w:val="single"/>
        </w:rPr>
        <w:t>February 2019</w:t>
      </w:r>
    </w:p>
    <w:p w:rsidR="00AB7215" w:rsidRDefault="00AB7215">
      <w:bookmarkStart w:id="0" w:name="_GoBack"/>
      <w:bookmarkEnd w:id="0"/>
    </w:p>
    <w:tbl>
      <w:tblPr>
        <w:tblStyle w:val="TableGrid"/>
        <w:tblW w:w="9143" w:type="dxa"/>
        <w:jc w:val="center"/>
        <w:tblLook w:val="04A0" w:firstRow="1" w:lastRow="0" w:firstColumn="1" w:lastColumn="0" w:noHBand="0" w:noVBand="1"/>
      </w:tblPr>
      <w:tblGrid>
        <w:gridCol w:w="4109"/>
        <w:gridCol w:w="5034"/>
      </w:tblGrid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 w:rsidRPr="006A4E4E">
              <w:rPr>
                <w:rFonts w:asciiTheme="minorHAnsi" w:hAnsiTheme="minorHAnsi"/>
                <w:b/>
                <w:szCs w:val="22"/>
                <w:u w:val="single"/>
              </w:rPr>
              <w:t>Functional Areas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Cs w:val="22"/>
                <w:u w:val="single"/>
              </w:rPr>
              <w:t>Where Used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9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Electronic Direct Marketing Denial log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To record denial of consent / unsubscribe 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9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Personal Information Sharing log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record PI sharing instances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9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Quality PI guide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To provide guidelines to PI owners 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 w:rsidRPr="006A4E4E">
              <w:rPr>
                <w:rFonts w:asciiTheme="minorHAnsi" w:hAnsiTheme="minorHAnsi"/>
                <w:b/>
                <w:szCs w:val="22"/>
                <w:u w:val="single"/>
              </w:rPr>
              <w:t>Human Resources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Cs w:val="22"/>
                <w:u w:val="single"/>
              </w:rPr>
              <w:t>Where Used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0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Clean Desk Policy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0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Employee compliance commitment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0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Staff Consent Form template 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 w:rsidRPr="006A4E4E">
              <w:rPr>
                <w:rFonts w:asciiTheme="minorHAnsi" w:hAnsiTheme="minorHAnsi"/>
                <w:b/>
                <w:szCs w:val="22"/>
                <w:u w:val="single"/>
              </w:rPr>
              <w:t>Information Officer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Cs w:val="22"/>
                <w:u w:val="single"/>
              </w:rPr>
              <w:t>Where Used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PAIA manual template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be published as per PAIA requirements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&amp; PAIA Information Officer appointment letter template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be signed at project initiation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Act Policy &amp; Privacy Notice template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be published to relevant stakeholders: policy for internal, privacy notice for external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Audit Report log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track compliance audit checks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Data subjects access request log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To track </w:t>
            </w:r>
            <w:r w:rsidRPr="006A4E4E">
              <w:rPr>
                <w:szCs w:val="22"/>
              </w:rPr>
              <w:t>Data subjects access request</w:t>
            </w:r>
            <w:r>
              <w:rPr>
                <w:szCs w:val="22"/>
              </w:rPr>
              <w:t>s processed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Destruction log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track destruction of PI storage media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Disposal log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track disposal of PI storage media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Ongoing Compliance Monitoring Checklist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Privacy Impact Assessment Key Questions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be used where new products, services or processes are being planned or introduced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Privacy Impact Assessment template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be used where new products, services or processes are being planned or introduced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Regulator Report log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track interactions with the Information Regulator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1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Strategy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To document the POPI Strategy of the organisation 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 w:rsidRPr="006A4E4E">
              <w:rPr>
                <w:rFonts w:asciiTheme="minorHAnsi" w:hAnsiTheme="minorHAnsi"/>
                <w:b/>
                <w:szCs w:val="22"/>
                <w:u w:val="single"/>
              </w:rPr>
              <w:t xml:space="preserve">Information Security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Cs w:val="22"/>
                <w:u w:val="single"/>
              </w:rPr>
              <w:t>Where Used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Acceptable Use Policy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rPr>
                <w:rFonts w:asciiTheme="minorHAnsi" w:hAnsiTheme="minorHAnsi"/>
                <w:b/>
                <w:szCs w:val="22"/>
                <w:u w:val="single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>POPI and BYOD recommendations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>POPI and Cloud recommendations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To form part of the compliance regime, either as a stand-alone document or integrated with </w:t>
            </w:r>
            <w:r>
              <w:rPr>
                <w:szCs w:val="22"/>
              </w:rPr>
              <w:lastRenderedPageBreak/>
              <w:t>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lastRenderedPageBreak/>
              <w:t>POPI and Smart Devices recommendations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>POPI and Social Media recommendations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CCTV Policy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Information Security Policy template 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form part of the compliance regime, either as a stand-alone document or integrated with another document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Information Technology Equipment Disposal Policy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provide a policy for equipment disposal which may have stored PI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Personal Information Backup Policy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provide a policy for electronic back-up of PI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Security Compromise log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track security compromise incidents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Strong Password Guidelines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provide password creation guidelines</w:t>
            </w:r>
          </w:p>
        </w:tc>
      </w:tr>
      <w:tr w:rsidR="00DE3F55" w:rsidRPr="006A4E4E" w:rsidTr="006A4E4E">
        <w:trPr>
          <w:jc w:val="center"/>
        </w:trPr>
        <w:tc>
          <w:tcPr>
            <w:tcW w:w="4109" w:type="dxa"/>
          </w:tcPr>
          <w:p w:rsidR="00DE3F55" w:rsidRPr="006A4E4E" w:rsidRDefault="00DE3F55" w:rsidP="006A4E4E">
            <w:pPr>
              <w:pStyle w:val="ListParagraph"/>
              <w:numPr>
                <w:ilvl w:val="0"/>
                <w:numId w:val="42"/>
              </w:numPr>
              <w:rPr>
                <w:szCs w:val="22"/>
              </w:rPr>
            </w:pPr>
            <w:r>
              <w:rPr>
                <w:szCs w:val="22"/>
              </w:rPr>
              <w:t>POPI Data Protection Loss Measures Tool</w:t>
            </w:r>
          </w:p>
        </w:tc>
        <w:tc>
          <w:tcPr>
            <w:tcW w:w="5034" w:type="dxa"/>
          </w:tcPr>
          <w:p w:rsidR="00DE3F55" w:rsidRDefault="00DE3F55" w:rsidP="006A4E4E">
            <w:pPr>
              <w:ind w:left="360"/>
              <w:rPr>
                <w:szCs w:val="22"/>
              </w:rPr>
            </w:pP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 w:rsidRPr="006A4E4E">
              <w:rPr>
                <w:rFonts w:asciiTheme="minorHAnsi" w:hAnsiTheme="minorHAnsi"/>
                <w:b/>
                <w:szCs w:val="22"/>
                <w:u w:val="single"/>
              </w:rPr>
              <w:t>Contract 7 items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jc w:val="center"/>
              <w:rPr>
                <w:rFonts w:asciiTheme="minorHAnsi" w:hAnsiTheme="minorHAnsi"/>
                <w:b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Cs w:val="22"/>
                <w:u w:val="single"/>
              </w:rPr>
              <w:t>Where Used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Enquiry and Registration form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To gather PI from enquiries, event registration and at other similar scenarios 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PI Purchase Contract Wording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specify the terms for compliant PI acquisition other than directly form the data subject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PI Sharing Agreement Outline 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provide the terms of agreement when sharing PI (not for processing by an operator)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PI Sharing Checklists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provide a checklist of issues to consider when sharing PI (not for processing by an operator)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Responsible Party to Operator contract clauses 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provide the terms of agreement when a service provider is processing PI on behalf of the Responsible Party (excludes Transborder)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Supplier Registration Clauses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provide the terms of agreement when a supplier (not Operator) is being registered with the Responsible Party</w:t>
            </w:r>
          </w:p>
        </w:tc>
      </w:tr>
      <w:tr w:rsidR="006A4E4E" w:rsidRPr="006A4E4E" w:rsidTr="006A4E4E">
        <w:trPr>
          <w:jc w:val="center"/>
        </w:trPr>
        <w:tc>
          <w:tcPr>
            <w:tcW w:w="4109" w:type="dxa"/>
          </w:tcPr>
          <w:p w:rsidR="006A4E4E" w:rsidRPr="006A4E4E" w:rsidRDefault="006A4E4E" w:rsidP="002B4AA4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6A4E4E">
              <w:rPr>
                <w:szCs w:val="22"/>
              </w:rPr>
              <w:t xml:space="preserve">POPI Transborder Agreement </w:t>
            </w:r>
          </w:p>
        </w:tc>
        <w:tc>
          <w:tcPr>
            <w:tcW w:w="5034" w:type="dxa"/>
          </w:tcPr>
          <w:p w:rsidR="006A4E4E" w:rsidRPr="006A4E4E" w:rsidRDefault="006A4E4E" w:rsidP="006A4E4E">
            <w:pPr>
              <w:ind w:left="360"/>
              <w:rPr>
                <w:szCs w:val="22"/>
              </w:rPr>
            </w:pPr>
            <w:r>
              <w:rPr>
                <w:szCs w:val="22"/>
              </w:rPr>
              <w:t>To provide the terms of agreement when a service provider is processing PI on behalf of the Responsible Party as an Operator where Transborder activity is included</w:t>
            </w:r>
          </w:p>
        </w:tc>
      </w:tr>
    </w:tbl>
    <w:p w:rsidR="00AB7215" w:rsidRDefault="00AB7215" w:rsidP="00AB7215">
      <w:pPr>
        <w:rPr>
          <w:rFonts w:asciiTheme="minorHAnsi" w:hAnsiTheme="minorHAnsi"/>
          <w:b/>
          <w:szCs w:val="22"/>
          <w:u w:val="single"/>
        </w:rPr>
      </w:pPr>
    </w:p>
    <w:sectPr w:rsidR="00AB7215" w:rsidSect="000604F5">
      <w:footerReference w:type="default" r:id="rId8"/>
      <w:pgSz w:w="11906" w:h="16838" w:code="9"/>
      <w:pgMar w:top="1440" w:right="1440" w:bottom="1440" w:left="1440" w:header="720" w:footer="6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1A5" w:rsidRDefault="00CA11A5" w:rsidP="000604F5">
      <w:pPr>
        <w:spacing w:after="0"/>
      </w:pPr>
      <w:r>
        <w:separator/>
      </w:r>
    </w:p>
  </w:endnote>
  <w:endnote w:type="continuationSeparator" w:id="0">
    <w:p w:rsidR="00CA11A5" w:rsidRDefault="00CA11A5" w:rsidP="000604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4F5" w:rsidRDefault="000604F5">
    <w:pPr>
      <w:pStyle w:val="Footer"/>
    </w:pPr>
    <w:r>
      <w:t>© John Cato &amp; Dr Peter Tobin, 201</w:t>
    </w:r>
    <w:r w:rsidR="00905897">
      <w:t>9</w:t>
    </w:r>
    <w:r>
      <w:t>. All rights reserved.</w:t>
    </w:r>
    <w:r>
      <w:tab/>
    </w:r>
    <w:r w:rsidR="00AF48F3">
      <w:rPr>
        <w:noProof/>
      </w:rPr>
      <w:fldChar w:fldCharType="begin"/>
    </w:r>
    <w:r w:rsidR="00AF48F3">
      <w:rPr>
        <w:noProof/>
      </w:rPr>
      <w:instrText xml:space="preserve"> PAGE   \* MERGEFORMAT </w:instrText>
    </w:r>
    <w:r w:rsidR="00AF48F3">
      <w:rPr>
        <w:noProof/>
      </w:rPr>
      <w:fldChar w:fldCharType="separate"/>
    </w:r>
    <w:r w:rsidR="00905897">
      <w:rPr>
        <w:noProof/>
      </w:rPr>
      <w:t>1</w:t>
    </w:r>
    <w:r w:rsidR="00AF48F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1A5" w:rsidRDefault="00CA11A5" w:rsidP="000604F5">
      <w:pPr>
        <w:spacing w:after="0"/>
      </w:pPr>
      <w:r>
        <w:separator/>
      </w:r>
    </w:p>
  </w:footnote>
  <w:footnote w:type="continuationSeparator" w:id="0">
    <w:p w:rsidR="00CA11A5" w:rsidRDefault="00CA11A5" w:rsidP="000604F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456E4"/>
    <w:multiLevelType w:val="hybridMultilevel"/>
    <w:tmpl w:val="3E385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64917"/>
    <w:multiLevelType w:val="hybridMultilevel"/>
    <w:tmpl w:val="E95CF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70EA1"/>
    <w:multiLevelType w:val="hybridMultilevel"/>
    <w:tmpl w:val="E95CF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B4B1A"/>
    <w:multiLevelType w:val="hybridMultilevel"/>
    <w:tmpl w:val="E95CF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916D8"/>
    <w:multiLevelType w:val="hybridMultilevel"/>
    <w:tmpl w:val="6A44168C"/>
    <w:lvl w:ilvl="0" w:tplc="F3466ED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9550F"/>
    <w:multiLevelType w:val="hybridMultilevel"/>
    <w:tmpl w:val="E95CF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35E48"/>
    <w:multiLevelType w:val="multilevel"/>
    <w:tmpl w:val="93C21F7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0"/>
  </w:num>
  <w:num w:numId="39">
    <w:abstractNumId w:val="1"/>
  </w:num>
  <w:num w:numId="40">
    <w:abstractNumId w:val="3"/>
  </w:num>
  <w:num w:numId="41">
    <w:abstractNumId w:val="2"/>
  </w:num>
  <w:num w:numId="42">
    <w:abstractNumId w:val="5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C6"/>
    <w:rsid w:val="00012A73"/>
    <w:rsid w:val="00045ACA"/>
    <w:rsid w:val="00055E8A"/>
    <w:rsid w:val="000604F5"/>
    <w:rsid w:val="00062727"/>
    <w:rsid w:val="000A082D"/>
    <w:rsid w:val="000B39CA"/>
    <w:rsid w:val="000B674B"/>
    <w:rsid w:val="000D1354"/>
    <w:rsid w:val="000E698E"/>
    <w:rsid w:val="00157A06"/>
    <w:rsid w:val="001676D4"/>
    <w:rsid w:val="001966DC"/>
    <w:rsid w:val="001A192C"/>
    <w:rsid w:val="00235C26"/>
    <w:rsid w:val="0029783C"/>
    <w:rsid w:val="002A7305"/>
    <w:rsid w:val="002F34C3"/>
    <w:rsid w:val="00354D30"/>
    <w:rsid w:val="00373239"/>
    <w:rsid w:val="00390382"/>
    <w:rsid w:val="00402DC4"/>
    <w:rsid w:val="00433F01"/>
    <w:rsid w:val="004B226D"/>
    <w:rsid w:val="004D04AF"/>
    <w:rsid w:val="00500EDE"/>
    <w:rsid w:val="005D74AD"/>
    <w:rsid w:val="0061034C"/>
    <w:rsid w:val="006A4E4E"/>
    <w:rsid w:val="006C4549"/>
    <w:rsid w:val="006D0582"/>
    <w:rsid w:val="0071385C"/>
    <w:rsid w:val="00725B98"/>
    <w:rsid w:val="00737F3C"/>
    <w:rsid w:val="007E6366"/>
    <w:rsid w:val="007F4233"/>
    <w:rsid w:val="00833017"/>
    <w:rsid w:val="00841E6C"/>
    <w:rsid w:val="00875E6A"/>
    <w:rsid w:val="008A4928"/>
    <w:rsid w:val="008C0E8F"/>
    <w:rsid w:val="00905897"/>
    <w:rsid w:val="00916229"/>
    <w:rsid w:val="00931F86"/>
    <w:rsid w:val="00941AD2"/>
    <w:rsid w:val="009558FA"/>
    <w:rsid w:val="0098227E"/>
    <w:rsid w:val="009E111A"/>
    <w:rsid w:val="009F5930"/>
    <w:rsid w:val="00A11BF5"/>
    <w:rsid w:val="00AB7215"/>
    <w:rsid w:val="00AF48F3"/>
    <w:rsid w:val="00B50465"/>
    <w:rsid w:val="00BF2B18"/>
    <w:rsid w:val="00BF767B"/>
    <w:rsid w:val="00C03585"/>
    <w:rsid w:val="00C4182C"/>
    <w:rsid w:val="00C74E5C"/>
    <w:rsid w:val="00C8406E"/>
    <w:rsid w:val="00C909D2"/>
    <w:rsid w:val="00CA11A5"/>
    <w:rsid w:val="00CE13AB"/>
    <w:rsid w:val="00D139F8"/>
    <w:rsid w:val="00D44383"/>
    <w:rsid w:val="00DD3B70"/>
    <w:rsid w:val="00DE31F2"/>
    <w:rsid w:val="00DE3F55"/>
    <w:rsid w:val="00E53C81"/>
    <w:rsid w:val="00E70F20"/>
    <w:rsid w:val="00E925DB"/>
    <w:rsid w:val="00EB73C6"/>
    <w:rsid w:val="00EF578D"/>
    <w:rsid w:val="00F167F8"/>
    <w:rsid w:val="00F26C6A"/>
    <w:rsid w:val="00F33C49"/>
    <w:rsid w:val="00FA5CFE"/>
    <w:rsid w:val="00FE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D38E52-E8A2-4421-B03C-6DAB21EE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b/>
        <w:bCs/>
        <w:iCs/>
        <w:sz w:val="22"/>
        <w:szCs w:val="24"/>
        <w:lang w:val="en-ZA" w:eastAsia="en-US" w:bidi="ar-SA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382"/>
    <w:rPr>
      <w:rFonts w:cs="Times New Roman"/>
      <w:b w:val="0"/>
      <w:bCs w:val="0"/>
      <w:iCs w:val="0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931F86"/>
    <w:pPr>
      <w:numPr>
        <w:numId w:val="37"/>
      </w:numPr>
      <w:spacing w:before="240"/>
      <w:outlineLvl w:val="0"/>
    </w:pPr>
    <w:rPr>
      <w:rFonts w:eastAsia="Times New Roman" w:cs="Arial"/>
      <w:b/>
      <w:bCs/>
      <w:iCs/>
      <w:kern w:val="32"/>
      <w:szCs w:val="32"/>
      <w:lang w:val="en-ZA"/>
    </w:rPr>
  </w:style>
  <w:style w:type="paragraph" w:styleId="Heading2">
    <w:name w:val="heading 2"/>
    <w:basedOn w:val="Normal"/>
    <w:next w:val="Normal"/>
    <w:link w:val="Heading2Char"/>
    <w:autoRedefine/>
    <w:qFormat/>
    <w:rsid w:val="00931F86"/>
    <w:pPr>
      <w:numPr>
        <w:ilvl w:val="1"/>
        <w:numId w:val="37"/>
      </w:numPr>
      <w:spacing w:before="240" w:line="480" w:lineRule="auto"/>
      <w:outlineLvl w:val="1"/>
    </w:pPr>
    <w:rPr>
      <w:rFonts w:eastAsia="Times New Roman" w:cs="Arial"/>
      <w:b/>
      <w:bCs/>
      <w:iCs/>
      <w:szCs w:val="28"/>
      <w:lang w:val="en-ZA"/>
    </w:rPr>
  </w:style>
  <w:style w:type="paragraph" w:styleId="Heading3">
    <w:name w:val="heading 3"/>
    <w:basedOn w:val="Normal"/>
    <w:next w:val="Normal"/>
    <w:link w:val="Heading3Char"/>
    <w:autoRedefine/>
    <w:qFormat/>
    <w:rsid w:val="00931F86"/>
    <w:pPr>
      <w:keepNext/>
      <w:numPr>
        <w:ilvl w:val="2"/>
        <w:numId w:val="37"/>
      </w:numPr>
      <w:spacing w:before="240"/>
      <w:outlineLvl w:val="2"/>
    </w:pPr>
    <w:rPr>
      <w:rFonts w:eastAsia="Times New Roman" w:cs="Arial"/>
      <w:b/>
      <w:bCs/>
      <w:iCs/>
      <w:szCs w:val="26"/>
      <w:lang w:val="en-ZA"/>
    </w:rPr>
  </w:style>
  <w:style w:type="paragraph" w:styleId="Heading4">
    <w:name w:val="heading 4"/>
    <w:basedOn w:val="Normal"/>
    <w:next w:val="Normal"/>
    <w:link w:val="Heading4Char"/>
    <w:autoRedefine/>
    <w:qFormat/>
    <w:rsid w:val="00931F86"/>
    <w:pPr>
      <w:keepNext/>
      <w:numPr>
        <w:ilvl w:val="3"/>
        <w:numId w:val="37"/>
      </w:numPr>
      <w:spacing w:before="240"/>
      <w:outlineLvl w:val="3"/>
    </w:pPr>
    <w:rPr>
      <w:rFonts w:eastAsia="Times New Roman" w:cs="Arial"/>
      <w:b/>
      <w:bCs/>
      <w:iCs/>
      <w:szCs w:val="28"/>
      <w:lang w:val="en-ZA"/>
    </w:rPr>
  </w:style>
  <w:style w:type="paragraph" w:styleId="Heading5">
    <w:name w:val="heading 5"/>
    <w:basedOn w:val="Normal"/>
    <w:next w:val="Normal"/>
    <w:link w:val="Heading5Char"/>
    <w:qFormat/>
    <w:rsid w:val="00931F86"/>
    <w:pPr>
      <w:numPr>
        <w:ilvl w:val="4"/>
        <w:numId w:val="37"/>
      </w:numPr>
      <w:spacing w:before="240"/>
      <w:outlineLvl w:val="4"/>
    </w:pPr>
    <w:rPr>
      <w:rFonts w:eastAsia="Times New Roman" w:cs="Arial"/>
      <w:b/>
      <w:bCs/>
      <w:i/>
      <w:iCs/>
      <w:szCs w:val="26"/>
      <w:lang w:val="en-ZA"/>
    </w:rPr>
  </w:style>
  <w:style w:type="paragraph" w:styleId="Heading6">
    <w:name w:val="heading 6"/>
    <w:basedOn w:val="Normal"/>
    <w:next w:val="Normal"/>
    <w:link w:val="Heading6Char"/>
    <w:qFormat/>
    <w:rsid w:val="00931F86"/>
    <w:pPr>
      <w:numPr>
        <w:ilvl w:val="5"/>
        <w:numId w:val="37"/>
      </w:numPr>
      <w:spacing w:before="24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931F86"/>
    <w:pPr>
      <w:numPr>
        <w:ilvl w:val="6"/>
        <w:numId w:val="37"/>
      </w:numPr>
      <w:spacing w:before="24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931F86"/>
    <w:pPr>
      <w:numPr>
        <w:ilvl w:val="7"/>
        <w:numId w:val="37"/>
      </w:numPr>
      <w:spacing w:before="24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931F86"/>
    <w:pPr>
      <w:numPr>
        <w:ilvl w:val="8"/>
        <w:numId w:val="37"/>
      </w:numPr>
      <w:spacing w:before="24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931F86"/>
    <w:rPr>
      <w:rFonts w:eastAsia="Times New Roman"/>
      <w:kern w:val="32"/>
      <w:szCs w:val="32"/>
    </w:rPr>
  </w:style>
  <w:style w:type="paragraph" w:customStyle="1" w:styleId="Peternumbered">
    <w:name w:val="Peter numbered"/>
    <w:basedOn w:val="TOCHeading"/>
    <w:qFormat/>
    <w:rsid w:val="0071385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931F86"/>
    <w:rPr>
      <w:rFonts w:eastAsia="Times New Roman"/>
      <w:szCs w:val="28"/>
    </w:rPr>
  </w:style>
  <w:style w:type="character" w:customStyle="1" w:styleId="Heading3Char">
    <w:name w:val="Heading 3 Char"/>
    <w:basedOn w:val="DefaultParagraphFont"/>
    <w:link w:val="Heading3"/>
    <w:rsid w:val="00931F86"/>
    <w:rPr>
      <w:rFonts w:eastAsia="Times New Roman"/>
      <w:szCs w:val="26"/>
    </w:rPr>
  </w:style>
  <w:style w:type="character" w:customStyle="1" w:styleId="Heading4Char">
    <w:name w:val="Heading 4 Char"/>
    <w:basedOn w:val="DefaultParagraphFont"/>
    <w:link w:val="Heading4"/>
    <w:rsid w:val="00931F86"/>
    <w:rPr>
      <w:rFonts w:ascii="Calibri" w:eastAsia="Times New Roman" w:hAnsi="Calibri" w:cs="Arial"/>
      <w:b/>
      <w:bCs/>
      <w:szCs w:val="28"/>
      <w:lang w:val="en-ZA"/>
    </w:rPr>
  </w:style>
  <w:style w:type="character" w:customStyle="1" w:styleId="Heading5Char">
    <w:name w:val="Heading 5 Char"/>
    <w:basedOn w:val="DefaultParagraphFont"/>
    <w:link w:val="Heading5"/>
    <w:rsid w:val="00931F86"/>
    <w:rPr>
      <w:rFonts w:eastAsia="Times New Roman"/>
      <w:i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hAnsi="Arial" w:cs="Times New Roman"/>
      <w:b w:val="0"/>
      <w:bCs w:val="0"/>
      <w:iCs w:val="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hAnsi="Arial" w:cs="Times New Roman"/>
      <w:b w:val="0"/>
      <w:bCs w:val="0"/>
      <w:iCs w:val="0"/>
      <w:sz w:val="28"/>
      <w:lang w:val="en-GB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hAnsi="Arial" w:cs="Times New Roman"/>
      <w:b w:val="0"/>
      <w:bCs w:val="0"/>
      <w:i/>
      <w:iCs w:val="0"/>
      <w:sz w:val="28"/>
      <w:lang w:val="en-GB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hAnsi="Arial" w:cs="Times New Roman"/>
      <w:b w:val="0"/>
      <w:bCs w:val="0"/>
      <w:iCs w:val="0"/>
      <w:szCs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</w:style>
  <w:style w:type="paragraph" w:styleId="ListParagraph">
    <w:name w:val="List Paragraph"/>
    <w:basedOn w:val="Normal"/>
    <w:uiPriority w:val="34"/>
    <w:qFormat/>
    <w:rsid w:val="008A4928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EB73C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4F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04F5"/>
    <w:rPr>
      <w:rFonts w:cs="Times New Roman"/>
      <w:b w:val="0"/>
      <w:bCs w:val="0"/>
      <w:iCs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04F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04F5"/>
    <w:rPr>
      <w:rFonts w:cs="Times New Roman"/>
      <w:b w:val="0"/>
      <w:bCs w:val="0"/>
      <w:iCs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7818318-6D98-445D-BA2B-4EAB3592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Peter Tobin</cp:lastModifiedBy>
  <cp:revision>2</cp:revision>
  <dcterms:created xsi:type="dcterms:W3CDTF">2019-02-04T07:05:00Z</dcterms:created>
  <dcterms:modified xsi:type="dcterms:W3CDTF">2019-02-04T07:05:00Z</dcterms:modified>
</cp:coreProperties>
</file>