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46C" w:rsidRDefault="00855926" w:rsidP="00F70D02">
      <w:pPr>
        <w:jc w:val="center"/>
        <w:rPr>
          <w:rFonts w:asciiTheme="minorHAnsi" w:hAnsiTheme="minorHAnsi"/>
          <w:b/>
          <w:color w:val="000000" w:themeColor="text1"/>
          <w:szCs w:val="22"/>
          <w:u w:val="single"/>
        </w:rPr>
      </w:pPr>
      <w:bookmarkStart w:id="0" w:name="OLE_LINK1"/>
      <w:bookmarkStart w:id="1" w:name="OLE_LINK2"/>
      <w:r>
        <w:rPr>
          <w:rFonts w:asciiTheme="minorHAnsi" w:hAnsiTheme="minorHAnsi"/>
          <w:b/>
          <w:color w:val="000000" w:themeColor="text1"/>
          <w:szCs w:val="22"/>
          <w:u w:val="single"/>
        </w:rPr>
        <w:t>Generic d</w:t>
      </w:r>
      <w:r w:rsidR="00670025" w:rsidRPr="00034DC4">
        <w:rPr>
          <w:rFonts w:asciiTheme="minorHAnsi" w:hAnsiTheme="minorHAnsi"/>
          <w:b/>
          <w:color w:val="000000" w:themeColor="text1"/>
          <w:szCs w:val="22"/>
          <w:u w:val="single"/>
        </w:rPr>
        <w:t>raft</w:t>
      </w:r>
      <w:r w:rsidR="00B1346C">
        <w:rPr>
          <w:rFonts w:asciiTheme="minorHAnsi" w:hAnsiTheme="minorHAnsi"/>
          <w:b/>
          <w:color w:val="000000" w:themeColor="text1"/>
          <w:szCs w:val="22"/>
          <w:u w:val="single"/>
        </w:rPr>
        <w:t xml:space="preserve"> contract wording to be used</w:t>
      </w:r>
      <w:r w:rsidR="00670025" w:rsidRPr="00034DC4">
        <w:rPr>
          <w:rFonts w:asciiTheme="minorHAnsi" w:hAnsiTheme="minorHAnsi"/>
          <w:b/>
          <w:color w:val="000000" w:themeColor="text1"/>
          <w:szCs w:val="22"/>
          <w:u w:val="single"/>
        </w:rPr>
        <w:t xml:space="preserve"> </w:t>
      </w:r>
    </w:p>
    <w:p w:rsidR="00B1346C" w:rsidRDefault="00670025" w:rsidP="00F70D02">
      <w:pPr>
        <w:jc w:val="center"/>
        <w:rPr>
          <w:rFonts w:asciiTheme="minorHAnsi" w:hAnsiTheme="minorHAnsi"/>
          <w:b/>
          <w:color w:val="000000" w:themeColor="text1"/>
          <w:szCs w:val="22"/>
          <w:u w:val="single"/>
        </w:rPr>
      </w:pPr>
      <w:proofErr w:type="gramStart"/>
      <w:r w:rsidRPr="00034DC4">
        <w:rPr>
          <w:rFonts w:asciiTheme="minorHAnsi" w:hAnsiTheme="minorHAnsi"/>
          <w:b/>
          <w:color w:val="000000" w:themeColor="text1"/>
          <w:szCs w:val="22"/>
          <w:u w:val="single"/>
        </w:rPr>
        <w:t>for</w:t>
      </w:r>
      <w:proofErr w:type="gramEnd"/>
      <w:r w:rsidRPr="00034DC4">
        <w:rPr>
          <w:rFonts w:asciiTheme="minorHAnsi" w:hAnsiTheme="minorHAnsi"/>
          <w:b/>
          <w:color w:val="000000" w:themeColor="text1"/>
          <w:szCs w:val="22"/>
          <w:u w:val="single"/>
        </w:rPr>
        <w:t xml:space="preserve"> acquiring </w:t>
      </w:r>
      <w:r w:rsidR="00B1346C">
        <w:rPr>
          <w:rFonts w:asciiTheme="minorHAnsi" w:hAnsiTheme="minorHAnsi"/>
          <w:b/>
          <w:color w:val="000000" w:themeColor="text1"/>
          <w:szCs w:val="22"/>
          <w:u w:val="single"/>
        </w:rPr>
        <w:t xml:space="preserve">personal information </w:t>
      </w:r>
      <w:r w:rsidRPr="00034DC4">
        <w:rPr>
          <w:rFonts w:asciiTheme="minorHAnsi" w:hAnsiTheme="minorHAnsi"/>
          <w:b/>
          <w:color w:val="000000" w:themeColor="text1"/>
          <w:szCs w:val="22"/>
          <w:u w:val="single"/>
        </w:rPr>
        <w:t xml:space="preserve">from </w:t>
      </w:r>
      <w:r w:rsidR="00B1346C">
        <w:rPr>
          <w:rFonts w:asciiTheme="minorHAnsi" w:hAnsiTheme="minorHAnsi"/>
          <w:b/>
          <w:color w:val="000000" w:themeColor="text1"/>
          <w:szCs w:val="22"/>
          <w:u w:val="single"/>
        </w:rPr>
        <w:t xml:space="preserve">commercial suppliers </w:t>
      </w:r>
    </w:p>
    <w:p w:rsidR="00670025" w:rsidRPr="00034DC4" w:rsidRDefault="00B1346C" w:rsidP="00F70D02">
      <w:pPr>
        <w:jc w:val="center"/>
        <w:rPr>
          <w:rFonts w:asciiTheme="minorHAnsi" w:hAnsiTheme="minorHAnsi"/>
          <w:b/>
          <w:color w:val="000000" w:themeColor="text1"/>
          <w:szCs w:val="22"/>
          <w:u w:val="single"/>
        </w:rPr>
      </w:pPr>
      <w:proofErr w:type="gramStart"/>
      <w:r>
        <w:rPr>
          <w:rFonts w:asciiTheme="minorHAnsi" w:hAnsiTheme="minorHAnsi"/>
          <w:b/>
          <w:color w:val="000000" w:themeColor="text1"/>
          <w:szCs w:val="22"/>
          <w:u w:val="single"/>
        </w:rPr>
        <w:t>in</w:t>
      </w:r>
      <w:proofErr w:type="gramEnd"/>
      <w:r>
        <w:rPr>
          <w:rFonts w:asciiTheme="minorHAnsi" w:hAnsiTheme="minorHAnsi"/>
          <w:b/>
          <w:color w:val="000000" w:themeColor="text1"/>
          <w:szCs w:val="22"/>
          <w:u w:val="single"/>
        </w:rPr>
        <w:t xml:space="preserve"> compliance with the POPI Act</w:t>
      </w:r>
    </w:p>
    <w:bookmarkEnd w:id="0"/>
    <w:bookmarkEnd w:id="1"/>
    <w:p w:rsidR="00034DC4" w:rsidRDefault="00034DC4" w:rsidP="00F70D02">
      <w:pPr>
        <w:jc w:val="center"/>
        <w:rPr>
          <w:rFonts w:asciiTheme="minorHAnsi" w:hAnsiTheme="minorHAnsi"/>
          <w:color w:val="000000" w:themeColor="text1"/>
          <w:szCs w:val="22"/>
          <w:u w:val="single"/>
        </w:rPr>
      </w:pPr>
    </w:p>
    <w:p w:rsidR="00034DC4" w:rsidRPr="00034DC4" w:rsidRDefault="00034DC4" w:rsidP="00034DC4">
      <w:pPr>
        <w:rPr>
          <w:rFonts w:asciiTheme="minorHAnsi" w:hAnsiTheme="minorHAnsi"/>
          <w:b/>
          <w:color w:val="000000" w:themeColor="text1"/>
          <w:szCs w:val="22"/>
          <w:u w:val="single"/>
        </w:rPr>
      </w:pPr>
      <w:r w:rsidRPr="00034DC4">
        <w:rPr>
          <w:rFonts w:asciiTheme="minorHAnsi" w:hAnsiTheme="minorHAnsi"/>
          <w:b/>
          <w:color w:val="000000" w:themeColor="text1"/>
          <w:szCs w:val="22"/>
          <w:u w:val="single"/>
        </w:rPr>
        <w:t xml:space="preserve">Advice complied by Dr Peter Tobin, </w:t>
      </w:r>
      <w:r w:rsidR="004408B8">
        <w:rPr>
          <w:rFonts w:asciiTheme="minorHAnsi" w:hAnsiTheme="minorHAnsi"/>
          <w:b/>
          <w:color w:val="000000" w:themeColor="text1"/>
          <w:szCs w:val="22"/>
          <w:u w:val="single"/>
        </w:rPr>
        <w:t>8 October 2018</w:t>
      </w:r>
    </w:p>
    <w:p w:rsidR="006478A6" w:rsidRDefault="006478A6" w:rsidP="00F70D02">
      <w:pPr>
        <w:jc w:val="center"/>
        <w:rPr>
          <w:rFonts w:asciiTheme="minorHAnsi" w:hAnsiTheme="minorHAnsi"/>
          <w:color w:val="000000" w:themeColor="text1"/>
          <w:szCs w:val="22"/>
          <w:u w:val="single"/>
        </w:rPr>
      </w:pPr>
    </w:p>
    <w:p w:rsidR="00B1346C" w:rsidRDefault="006478A6" w:rsidP="006478A6">
      <w:pPr>
        <w:rPr>
          <w:rFonts w:asciiTheme="minorHAnsi" w:hAnsiTheme="minorHAnsi"/>
          <w:color w:val="000000" w:themeColor="text1"/>
          <w:szCs w:val="22"/>
        </w:rPr>
      </w:pPr>
      <w:r w:rsidRPr="006478A6">
        <w:rPr>
          <w:rFonts w:asciiTheme="minorHAnsi" w:hAnsiTheme="minorHAnsi"/>
          <w:color w:val="000000" w:themeColor="text1"/>
          <w:szCs w:val="22"/>
        </w:rPr>
        <w:t xml:space="preserve">Here is the suggested draft </w:t>
      </w:r>
      <w:r w:rsidR="00B1346C">
        <w:rPr>
          <w:rFonts w:asciiTheme="minorHAnsi" w:hAnsiTheme="minorHAnsi"/>
          <w:color w:val="000000" w:themeColor="text1"/>
          <w:szCs w:val="22"/>
        </w:rPr>
        <w:t>wording</w:t>
      </w:r>
      <w:r w:rsidRPr="006478A6">
        <w:rPr>
          <w:rFonts w:asciiTheme="minorHAnsi" w:hAnsiTheme="minorHAnsi"/>
          <w:color w:val="000000" w:themeColor="text1"/>
          <w:szCs w:val="22"/>
        </w:rPr>
        <w:t xml:space="preserve"> to use. Supporting information from the guidance from the UK regulator (Information commissioner’s Office </w:t>
      </w:r>
      <w:hyperlink r:id="rId7" w:history="1">
        <w:r w:rsidRPr="006478A6">
          <w:rPr>
            <w:rStyle w:val="Hyperlink"/>
            <w:rFonts w:asciiTheme="minorHAnsi" w:hAnsiTheme="minorHAnsi"/>
            <w:szCs w:val="22"/>
            <w:u w:val="none"/>
          </w:rPr>
          <w:t>www.ico.org.uk</w:t>
        </w:r>
      </w:hyperlink>
      <w:r w:rsidRPr="006478A6">
        <w:rPr>
          <w:rFonts w:asciiTheme="minorHAnsi" w:hAnsiTheme="minorHAnsi"/>
          <w:color w:val="000000" w:themeColor="text1"/>
          <w:szCs w:val="22"/>
        </w:rPr>
        <w:t xml:space="preserve"> is shown below plus extracts from the POPI Act</w:t>
      </w:r>
      <w:r w:rsidR="004408B8">
        <w:rPr>
          <w:rFonts w:asciiTheme="minorHAnsi" w:hAnsiTheme="minorHAnsi"/>
          <w:color w:val="000000" w:themeColor="text1"/>
          <w:szCs w:val="22"/>
        </w:rPr>
        <w:t>)</w:t>
      </w:r>
      <w:r w:rsidRPr="006478A6">
        <w:rPr>
          <w:rFonts w:asciiTheme="minorHAnsi" w:hAnsiTheme="minorHAnsi"/>
          <w:color w:val="000000" w:themeColor="text1"/>
          <w:szCs w:val="22"/>
        </w:rPr>
        <w:t>.</w:t>
      </w:r>
    </w:p>
    <w:p w:rsidR="00B1346C" w:rsidRPr="00B1346C" w:rsidRDefault="00B1346C" w:rsidP="00B1346C">
      <w:pPr>
        <w:jc w:val="center"/>
        <w:rPr>
          <w:rFonts w:asciiTheme="minorHAnsi" w:hAnsiTheme="minorHAnsi"/>
          <w:b/>
          <w:color w:val="000000" w:themeColor="text1"/>
          <w:szCs w:val="22"/>
          <w:u w:val="single"/>
        </w:rPr>
      </w:pPr>
      <w:r w:rsidRPr="00B1346C">
        <w:rPr>
          <w:rFonts w:asciiTheme="minorHAnsi" w:hAnsiTheme="minorHAnsi"/>
          <w:b/>
          <w:color w:val="000000" w:themeColor="text1"/>
          <w:szCs w:val="22"/>
          <w:u w:val="single"/>
        </w:rPr>
        <w:t>Contract wording starts</w:t>
      </w:r>
    </w:p>
    <w:p w:rsidR="006478A6" w:rsidRPr="006478A6" w:rsidRDefault="006478A6" w:rsidP="006478A6">
      <w:pPr>
        <w:rPr>
          <w:rFonts w:asciiTheme="minorHAnsi" w:hAnsiTheme="minorHAnsi"/>
          <w:color w:val="000000" w:themeColor="text1"/>
          <w:szCs w:val="22"/>
        </w:rPr>
      </w:pPr>
    </w:p>
    <w:p w:rsidR="00034DC4" w:rsidRDefault="006478A6" w:rsidP="006478A6">
      <w:pPr>
        <w:rPr>
          <w:rFonts w:asciiTheme="minorHAnsi" w:hAnsiTheme="minorHAnsi"/>
          <w:color w:val="000000" w:themeColor="text1"/>
          <w:szCs w:val="22"/>
        </w:rPr>
      </w:pPr>
      <w:r>
        <w:rPr>
          <w:rFonts w:asciiTheme="minorHAnsi" w:hAnsiTheme="minorHAnsi"/>
          <w:color w:val="000000" w:themeColor="text1"/>
          <w:szCs w:val="22"/>
        </w:rPr>
        <w:t>“As a supplier of personal information as defined in terms of the Protection of Personal Information</w:t>
      </w:r>
      <w:r w:rsidR="0083138A">
        <w:rPr>
          <w:rFonts w:asciiTheme="minorHAnsi" w:hAnsiTheme="minorHAnsi"/>
          <w:color w:val="000000" w:themeColor="text1"/>
          <w:szCs w:val="22"/>
        </w:rPr>
        <w:t xml:space="preserve"> (POPI)</w:t>
      </w:r>
      <w:r>
        <w:rPr>
          <w:rFonts w:asciiTheme="minorHAnsi" w:hAnsiTheme="minorHAnsi"/>
          <w:color w:val="000000" w:themeColor="text1"/>
          <w:szCs w:val="22"/>
        </w:rPr>
        <w:t xml:space="preserve"> Act (</w:t>
      </w:r>
      <w:r w:rsidR="0083138A">
        <w:rPr>
          <w:rFonts w:asciiTheme="minorHAnsi" w:hAnsiTheme="minorHAnsi"/>
          <w:color w:val="000000" w:themeColor="text1"/>
          <w:szCs w:val="22"/>
        </w:rPr>
        <w:t>No.</w:t>
      </w:r>
      <w:r>
        <w:rPr>
          <w:rFonts w:asciiTheme="minorHAnsi" w:hAnsiTheme="minorHAnsi"/>
          <w:color w:val="000000" w:themeColor="text1"/>
          <w:szCs w:val="22"/>
        </w:rPr>
        <w:t xml:space="preserve"> 4 of 2013)</w:t>
      </w:r>
      <w:r w:rsidR="00E9454F">
        <w:rPr>
          <w:rFonts w:asciiTheme="minorHAnsi" w:hAnsiTheme="minorHAnsi"/>
          <w:color w:val="000000" w:themeColor="text1"/>
          <w:szCs w:val="22"/>
        </w:rPr>
        <w:t>, [insert supplier company name] confirms that</w:t>
      </w:r>
      <w:r w:rsidR="00133CB5">
        <w:rPr>
          <w:rFonts w:asciiTheme="minorHAnsi" w:hAnsiTheme="minorHAnsi"/>
          <w:color w:val="000000" w:themeColor="text1"/>
          <w:szCs w:val="22"/>
        </w:rPr>
        <w:t xml:space="preserve"> in terms of </w:t>
      </w:r>
      <w:r w:rsidR="0083138A">
        <w:rPr>
          <w:rFonts w:asciiTheme="minorHAnsi" w:hAnsiTheme="minorHAnsi"/>
          <w:color w:val="000000" w:themeColor="text1"/>
          <w:szCs w:val="22"/>
        </w:rPr>
        <w:t xml:space="preserve">the </w:t>
      </w:r>
      <w:r w:rsidR="00133CB5">
        <w:rPr>
          <w:rFonts w:asciiTheme="minorHAnsi" w:hAnsiTheme="minorHAnsi"/>
          <w:color w:val="000000" w:themeColor="text1"/>
          <w:szCs w:val="22"/>
        </w:rPr>
        <w:t>consent and purpose</w:t>
      </w:r>
      <w:r w:rsidR="0083138A">
        <w:rPr>
          <w:rFonts w:asciiTheme="minorHAnsi" w:hAnsiTheme="minorHAnsi"/>
          <w:color w:val="000000" w:themeColor="text1"/>
          <w:szCs w:val="22"/>
        </w:rPr>
        <w:t xml:space="preserve"> requirements for lawful processing</w:t>
      </w:r>
      <w:r w:rsidR="00133CB5">
        <w:rPr>
          <w:rFonts w:asciiTheme="minorHAnsi" w:hAnsiTheme="minorHAnsi"/>
          <w:color w:val="000000" w:themeColor="text1"/>
          <w:szCs w:val="22"/>
        </w:rPr>
        <w:t xml:space="preserve"> (sections 11 to 13 of the POPI Act)</w:t>
      </w:r>
      <w:r w:rsidR="00034DC4">
        <w:rPr>
          <w:rFonts w:asciiTheme="minorHAnsi" w:hAnsiTheme="minorHAnsi"/>
          <w:color w:val="000000" w:themeColor="text1"/>
          <w:szCs w:val="22"/>
        </w:rPr>
        <w:t xml:space="preserve"> </w:t>
      </w:r>
    </w:p>
    <w:p w:rsidR="00034DC4" w:rsidRDefault="00034DC4" w:rsidP="006478A6">
      <w:pPr>
        <w:rPr>
          <w:rFonts w:asciiTheme="minorHAnsi" w:hAnsiTheme="minorHAnsi"/>
          <w:color w:val="000000" w:themeColor="text1"/>
          <w:szCs w:val="22"/>
        </w:rPr>
      </w:pPr>
    </w:p>
    <w:p w:rsidR="006478A6" w:rsidRPr="00034DC4" w:rsidRDefault="00034DC4" w:rsidP="006478A6">
      <w:pPr>
        <w:rPr>
          <w:rFonts w:asciiTheme="minorHAnsi" w:hAnsiTheme="minorHAnsi"/>
          <w:b/>
          <w:i/>
          <w:color w:val="000000" w:themeColor="text1"/>
          <w:szCs w:val="22"/>
        </w:rPr>
      </w:pPr>
      <w:r>
        <w:rPr>
          <w:rFonts w:asciiTheme="minorHAnsi" w:hAnsiTheme="minorHAnsi"/>
          <w:b/>
          <w:i/>
          <w:color w:val="000000" w:themeColor="text1"/>
          <w:szCs w:val="22"/>
        </w:rPr>
        <w:t>{</w:t>
      </w:r>
      <w:proofErr w:type="gramStart"/>
      <w:r>
        <w:rPr>
          <w:rFonts w:asciiTheme="minorHAnsi" w:hAnsiTheme="minorHAnsi"/>
          <w:b/>
          <w:i/>
          <w:color w:val="000000" w:themeColor="text1"/>
          <w:szCs w:val="22"/>
        </w:rPr>
        <w:t>select</w:t>
      </w:r>
      <w:proofErr w:type="gramEnd"/>
      <w:r w:rsidRPr="00034DC4">
        <w:rPr>
          <w:rFonts w:asciiTheme="minorHAnsi" w:hAnsiTheme="minorHAnsi"/>
          <w:b/>
          <w:i/>
          <w:color w:val="000000" w:themeColor="text1"/>
          <w:szCs w:val="22"/>
        </w:rPr>
        <w:t xml:space="preserve"> which option applies for each data subject record}</w:t>
      </w:r>
    </w:p>
    <w:p w:rsidR="00E9454F" w:rsidRDefault="00E9454F" w:rsidP="006478A6">
      <w:pPr>
        <w:rPr>
          <w:rFonts w:asciiTheme="minorHAnsi" w:hAnsiTheme="minorHAnsi"/>
          <w:color w:val="000000" w:themeColor="text1"/>
          <w:szCs w:val="22"/>
        </w:rPr>
      </w:pPr>
    </w:p>
    <w:p w:rsidR="00E9454F" w:rsidRDefault="00E9454F" w:rsidP="006478A6">
      <w:pPr>
        <w:rPr>
          <w:rFonts w:asciiTheme="minorHAnsi" w:hAnsiTheme="minorHAnsi"/>
          <w:color w:val="000000" w:themeColor="text1"/>
          <w:szCs w:val="22"/>
        </w:rPr>
      </w:pPr>
      <w:r>
        <w:rPr>
          <w:rFonts w:asciiTheme="minorHAnsi" w:hAnsiTheme="minorHAnsi"/>
          <w:color w:val="000000" w:themeColor="text1"/>
          <w:szCs w:val="22"/>
        </w:rPr>
        <w:t xml:space="preserve">Option 1: </w:t>
      </w:r>
      <w:r w:rsidR="00133CB5">
        <w:rPr>
          <w:rFonts w:asciiTheme="minorHAnsi" w:hAnsiTheme="minorHAnsi"/>
          <w:color w:val="000000" w:themeColor="text1"/>
          <w:szCs w:val="22"/>
        </w:rPr>
        <w:t>Direct collection from the data subject</w:t>
      </w:r>
    </w:p>
    <w:p w:rsidR="00E9454F" w:rsidRDefault="00E9454F" w:rsidP="006478A6">
      <w:pPr>
        <w:rPr>
          <w:rFonts w:asciiTheme="minorHAnsi" w:hAnsiTheme="minorHAnsi"/>
          <w:color w:val="000000" w:themeColor="text1"/>
          <w:szCs w:val="22"/>
        </w:rPr>
      </w:pPr>
    </w:p>
    <w:p w:rsidR="00E9454F" w:rsidRDefault="00E9454F" w:rsidP="00E9454F">
      <w:pPr>
        <w:pStyle w:val="ListParagraph"/>
        <w:numPr>
          <w:ilvl w:val="0"/>
          <w:numId w:val="22"/>
        </w:numPr>
        <w:rPr>
          <w:rFonts w:asciiTheme="minorHAnsi" w:hAnsiTheme="minorHAnsi"/>
          <w:color w:val="000000" w:themeColor="text1"/>
          <w:szCs w:val="22"/>
        </w:rPr>
      </w:pPr>
      <w:r>
        <w:rPr>
          <w:rFonts w:asciiTheme="minorHAnsi" w:hAnsiTheme="minorHAnsi"/>
          <w:color w:val="000000" w:themeColor="text1"/>
          <w:szCs w:val="22"/>
        </w:rPr>
        <w:t>The personal information was collected directly from the data subject, and a record of that collection exists</w:t>
      </w:r>
      <w:r>
        <w:rPr>
          <w:rFonts w:asciiTheme="minorHAnsi" w:hAnsiTheme="minorHAnsi"/>
          <w:color w:val="000000" w:themeColor="text1"/>
          <w:szCs w:val="22"/>
        </w:rPr>
        <w:br/>
      </w:r>
      <w:r w:rsidRPr="0083138A">
        <w:rPr>
          <w:rFonts w:asciiTheme="minorHAnsi" w:hAnsiTheme="minorHAnsi"/>
          <w:i/>
          <w:color w:val="000000" w:themeColor="text1"/>
          <w:szCs w:val="22"/>
        </w:rPr>
        <w:t>and that</w:t>
      </w:r>
    </w:p>
    <w:p w:rsidR="00E9454F" w:rsidRDefault="00E9454F" w:rsidP="00E9454F">
      <w:pPr>
        <w:pStyle w:val="ListParagraph"/>
        <w:numPr>
          <w:ilvl w:val="0"/>
          <w:numId w:val="22"/>
        </w:numPr>
        <w:rPr>
          <w:rFonts w:asciiTheme="minorHAnsi" w:hAnsiTheme="minorHAnsi"/>
          <w:color w:val="000000" w:themeColor="text1"/>
          <w:szCs w:val="22"/>
        </w:rPr>
      </w:pPr>
      <w:r>
        <w:rPr>
          <w:rFonts w:asciiTheme="minorHAnsi" w:hAnsiTheme="minorHAnsi"/>
          <w:color w:val="000000" w:themeColor="text1"/>
          <w:szCs w:val="22"/>
        </w:rPr>
        <w:t>Explicit consent to sell the personal information of the data subject has been obtained, and that a record of that consent exists</w:t>
      </w:r>
      <w:r>
        <w:rPr>
          <w:rFonts w:asciiTheme="minorHAnsi" w:hAnsiTheme="minorHAnsi"/>
          <w:color w:val="000000" w:themeColor="text1"/>
          <w:szCs w:val="22"/>
        </w:rPr>
        <w:br/>
      </w:r>
      <w:r w:rsidRPr="0083138A">
        <w:rPr>
          <w:rFonts w:asciiTheme="minorHAnsi" w:hAnsiTheme="minorHAnsi"/>
          <w:i/>
          <w:color w:val="000000" w:themeColor="text1"/>
          <w:szCs w:val="22"/>
        </w:rPr>
        <w:t>and that</w:t>
      </w:r>
    </w:p>
    <w:p w:rsidR="00E9454F" w:rsidRDefault="00E9454F" w:rsidP="00E9454F">
      <w:pPr>
        <w:pStyle w:val="ListParagraph"/>
        <w:numPr>
          <w:ilvl w:val="0"/>
          <w:numId w:val="22"/>
        </w:numPr>
        <w:rPr>
          <w:rFonts w:asciiTheme="minorHAnsi" w:hAnsiTheme="minorHAnsi"/>
          <w:color w:val="000000" w:themeColor="text1"/>
          <w:szCs w:val="22"/>
        </w:rPr>
      </w:pPr>
      <w:r>
        <w:rPr>
          <w:rFonts w:asciiTheme="minorHAnsi" w:hAnsiTheme="minorHAnsi"/>
          <w:color w:val="000000" w:themeColor="text1"/>
          <w:szCs w:val="22"/>
        </w:rPr>
        <w:t>The specific purpose for obtaining that information – direct marketing -  has been made clear to the data subject and that a record of that consent exists</w:t>
      </w:r>
    </w:p>
    <w:p w:rsidR="00E9454F" w:rsidRDefault="00E9454F" w:rsidP="00E9454F">
      <w:pPr>
        <w:rPr>
          <w:rFonts w:asciiTheme="minorHAnsi" w:hAnsiTheme="minorHAnsi"/>
          <w:color w:val="000000" w:themeColor="text1"/>
          <w:szCs w:val="22"/>
        </w:rPr>
      </w:pPr>
    </w:p>
    <w:p w:rsidR="00E9454F" w:rsidRDefault="00E9454F" w:rsidP="00E9454F">
      <w:pPr>
        <w:rPr>
          <w:rFonts w:asciiTheme="minorHAnsi" w:hAnsiTheme="minorHAnsi"/>
          <w:color w:val="000000" w:themeColor="text1"/>
          <w:szCs w:val="22"/>
        </w:rPr>
      </w:pPr>
      <w:r>
        <w:rPr>
          <w:rFonts w:asciiTheme="minorHAnsi" w:hAnsiTheme="minorHAnsi"/>
          <w:color w:val="000000" w:themeColor="text1"/>
          <w:szCs w:val="22"/>
        </w:rPr>
        <w:t xml:space="preserve">Option 2: </w:t>
      </w:r>
      <w:r w:rsidR="00133CB5">
        <w:rPr>
          <w:rFonts w:asciiTheme="minorHAnsi" w:hAnsiTheme="minorHAnsi"/>
          <w:color w:val="000000" w:themeColor="text1"/>
          <w:szCs w:val="22"/>
        </w:rPr>
        <w:t xml:space="preserve">Collection from a public record </w:t>
      </w:r>
    </w:p>
    <w:p w:rsidR="00E9454F" w:rsidRDefault="00E9454F" w:rsidP="00E9454F">
      <w:pPr>
        <w:rPr>
          <w:rFonts w:asciiTheme="minorHAnsi" w:hAnsiTheme="minorHAnsi"/>
          <w:color w:val="000000" w:themeColor="text1"/>
          <w:szCs w:val="22"/>
        </w:rPr>
      </w:pPr>
    </w:p>
    <w:p w:rsidR="0083138A" w:rsidRDefault="00E9454F" w:rsidP="00E9454F">
      <w:pPr>
        <w:pStyle w:val="ListParagraph"/>
        <w:numPr>
          <w:ilvl w:val="0"/>
          <w:numId w:val="23"/>
        </w:numPr>
        <w:rPr>
          <w:rFonts w:asciiTheme="minorHAnsi" w:hAnsiTheme="minorHAnsi"/>
          <w:color w:val="000000" w:themeColor="text1"/>
          <w:szCs w:val="22"/>
        </w:rPr>
      </w:pPr>
      <w:r w:rsidRPr="00034DC4">
        <w:rPr>
          <w:rFonts w:asciiTheme="minorHAnsi" w:hAnsiTheme="minorHAnsi"/>
          <w:color w:val="000000" w:themeColor="text1"/>
          <w:szCs w:val="22"/>
        </w:rPr>
        <w:t xml:space="preserve">The personal information was collected from </w:t>
      </w:r>
      <w:r w:rsidR="00133CB5" w:rsidRPr="00034DC4">
        <w:rPr>
          <w:rFonts w:asciiTheme="minorHAnsi" w:hAnsiTheme="minorHAnsi"/>
          <w:color w:val="000000" w:themeColor="text1"/>
          <w:szCs w:val="22"/>
        </w:rPr>
        <w:t>a public record</w:t>
      </w:r>
      <w:r w:rsidRPr="00034DC4">
        <w:rPr>
          <w:rFonts w:asciiTheme="minorHAnsi" w:hAnsiTheme="minorHAnsi"/>
          <w:color w:val="000000" w:themeColor="text1"/>
          <w:szCs w:val="22"/>
        </w:rPr>
        <w:t xml:space="preserve"> </w:t>
      </w:r>
      <w:r w:rsidR="0083138A">
        <w:rPr>
          <w:rFonts w:asciiTheme="minorHAnsi" w:hAnsiTheme="minorHAnsi"/>
          <w:color w:val="000000" w:themeColor="text1"/>
          <w:szCs w:val="22"/>
        </w:rPr>
        <w:br/>
      </w:r>
      <w:r w:rsidRPr="0083138A">
        <w:rPr>
          <w:rFonts w:asciiTheme="minorHAnsi" w:hAnsiTheme="minorHAnsi"/>
          <w:i/>
          <w:color w:val="000000" w:themeColor="text1"/>
          <w:szCs w:val="22"/>
        </w:rPr>
        <w:t xml:space="preserve">and </w:t>
      </w:r>
      <w:r w:rsidR="00133CB5" w:rsidRPr="0083138A">
        <w:rPr>
          <w:rFonts w:asciiTheme="minorHAnsi" w:hAnsiTheme="minorHAnsi"/>
          <w:i/>
          <w:color w:val="000000" w:themeColor="text1"/>
          <w:szCs w:val="22"/>
        </w:rPr>
        <w:t>that</w:t>
      </w:r>
      <w:r w:rsidR="00133CB5" w:rsidRPr="00034DC4">
        <w:rPr>
          <w:rFonts w:asciiTheme="minorHAnsi" w:hAnsiTheme="minorHAnsi"/>
          <w:color w:val="000000" w:themeColor="text1"/>
          <w:szCs w:val="22"/>
        </w:rPr>
        <w:t xml:space="preserve"> </w:t>
      </w:r>
    </w:p>
    <w:p w:rsidR="00034DC4" w:rsidRDefault="0083138A" w:rsidP="00E9454F">
      <w:pPr>
        <w:pStyle w:val="ListParagraph"/>
        <w:numPr>
          <w:ilvl w:val="0"/>
          <w:numId w:val="23"/>
        </w:numPr>
        <w:rPr>
          <w:rFonts w:asciiTheme="minorHAnsi" w:hAnsiTheme="minorHAnsi"/>
          <w:color w:val="000000" w:themeColor="text1"/>
          <w:szCs w:val="22"/>
        </w:rPr>
      </w:pPr>
      <w:r>
        <w:rPr>
          <w:rFonts w:asciiTheme="minorHAnsi" w:hAnsiTheme="minorHAnsi"/>
          <w:color w:val="000000" w:themeColor="text1"/>
          <w:szCs w:val="22"/>
        </w:rPr>
        <w:t xml:space="preserve">The </w:t>
      </w:r>
      <w:r w:rsidR="00133CB5" w:rsidRPr="00034DC4">
        <w:rPr>
          <w:rFonts w:asciiTheme="minorHAnsi" w:hAnsiTheme="minorHAnsi"/>
          <w:color w:val="000000" w:themeColor="text1"/>
          <w:szCs w:val="22"/>
        </w:rPr>
        <w:t>public</w:t>
      </w:r>
      <w:r w:rsidR="00E9454F" w:rsidRPr="00034DC4">
        <w:rPr>
          <w:rFonts w:asciiTheme="minorHAnsi" w:hAnsiTheme="minorHAnsi"/>
          <w:color w:val="000000" w:themeColor="text1"/>
          <w:szCs w:val="22"/>
        </w:rPr>
        <w:t xml:space="preserve"> record </w:t>
      </w:r>
      <w:r w:rsidR="00133CB5" w:rsidRPr="00034DC4">
        <w:rPr>
          <w:rFonts w:asciiTheme="minorHAnsi" w:hAnsiTheme="minorHAnsi"/>
          <w:color w:val="000000" w:themeColor="text1"/>
          <w:szCs w:val="22"/>
        </w:rPr>
        <w:t>is available for inspection or the source can be verified</w:t>
      </w:r>
    </w:p>
    <w:p w:rsidR="00E9454F" w:rsidRDefault="00E9454F" w:rsidP="00034DC4">
      <w:pPr>
        <w:rPr>
          <w:rFonts w:asciiTheme="minorHAnsi" w:hAnsiTheme="minorHAnsi"/>
          <w:color w:val="000000" w:themeColor="text1"/>
          <w:szCs w:val="22"/>
        </w:rPr>
      </w:pPr>
      <w:r w:rsidRPr="00034DC4">
        <w:rPr>
          <w:rFonts w:asciiTheme="minorHAnsi" w:hAnsiTheme="minorHAnsi"/>
          <w:color w:val="000000" w:themeColor="text1"/>
          <w:szCs w:val="22"/>
        </w:rPr>
        <w:br/>
      </w:r>
      <w:r w:rsidR="00034DC4">
        <w:rPr>
          <w:rFonts w:asciiTheme="minorHAnsi" w:hAnsiTheme="minorHAnsi"/>
          <w:color w:val="000000" w:themeColor="text1"/>
          <w:szCs w:val="22"/>
        </w:rPr>
        <w:t>Option 3: Deliberately made public by the data subject</w:t>
      </w:r>
      <w:r w:rsidRPr="00034DC4">
        <w:rPr>
          <w:rFonts w:asciiTheme="minorHAnsi" w:hAnsiTheme="minorHAnsi"/>
          <w:color w:val="000000" w:themeColor="text1"/>
          <w:szCs w:val="22"/>
        </w:rPr>
        <w:t xml:space="preserve"> </w:t>
      </w:r>
    </w:p>
    <w:p w:rsidR="00034DC4" w:rsidRDefault="00034DC4" w:rsidP="00034DC4">
      <w:pPr>
        <w:rPr>
          <w:rFonts w:asciiTheme="minorHAnsi" w:hAnsiTheme="minorHAnsi"/>
          <w:color w:val="000000" w:themeColor="text1"/>
          <w:szCs w:val="22"/>
        </w:rPr>
      </w:pPr>
    </w:p>
    <w:p w:rsidR="0083138A" w:rsidRDefault="00034DC4" w:rsidP="00034DC4">
      <w:pPr>
        <w:pStyle w:val="ListParagraph"/>
        <w:numPr>
          <w:ilvl w:val="0"/>
          <w:numId w:val="24"/>
        </w:numPr>
        <w:rPr>
          <w:rFonts w:asciiTheme="minorHAnsi" w:hAnsiTheme="minorHAnsi"/>
          <w:color w:val="000000" w:themeColor="text1"/>
          <w:szCs w:val="22"/>
        </w:rPr>
      </w:pPr>
      <w:r w:rsidRPr="00034DC4">
        <w:rPr>
          <w:rFonts w:asciiTheme="minorHAnsi" w:hAnsiTheme="minorHAnsi"/>
          <w:color w:val="000000" w:themeColor="text1"/>
          <w:szCs w:val="22"/>
        </w:rPr>
        <w:t>The personal information</w:t>
      </w:r>
      <w:r>
        <w:rPr>
          <w:rFonts w:asciiTheme="minorHAnsi" w:hAnsiTheme="minorHAnsi"/>
          <w:color w:val="000000" w:themeColor="text1"/>
          <w:szCs w:val="22"/>
        </w:rPr>
        <w:t xml:space="preserve"> was deliberately made public by the data subject </w:t>
      </w:r>
      <w:r w:rsidR="0083138A">
        <w:rPr>
          <w:rFonts w:asciiTheme="minorHAnsi" w:hAnsiTheme="minorHAnsi"/>
          <w:color w:val="000000" w:themeColor="text1"/>
          <w:szCs w:val="22"/>
        </w:rPr>
        <w:br/>
      </w:r>
      <w:r w:rsidRPr="0083138A">
        <w:rPr>
          <w:rFonts w:asciiTheme="minorHAnsi" w:hAnsiTheme="minorHAnsi"/>
          <w:i/>
          <w:color w:val="000000" w:themeColor="text1"/>
          <w:szCs w:val="22"/>
        </w:rPr>
        <w:t xml:space="preserve">and </w:t>
      </w:r>
      <w:r w:rsidR="0083138A" w:rsidRPr="0083138A">
        <w:rPr>
          <w:rFonts w:asciiTheme="minorHAnsi" w:hAnsiTheme="minorHAnsi"/>
          <w:i/>
          <w:color w:val="000000" w:themeColor="text1"/>
          <w:szCs w:val="22"/>
        </w:rPr>
        <w:t>that</w:t>
      </w:r>
      <w:r w:rsidR="0083138A">
        <w:rPr>
          <w:rFonts w:asciiTheme="minorHAnsi" w:hAnsiTheme="minorHAnsi"/>
          <w:color w:val="000000" w:themeColor="text1"/>
          <w:szCs w:val="22"/>
        </w:rPr>
        <w:t xml:space="preserve"> </w:t>
      </w:r>
    </w:p>
    <w:p w:rsidR="00034DC4" w:rsidRDefault="0083138A" w:rsidP="00034DC4">
      <w:pPr>
        <w:pStyle w:val="ListParagraph"/>
        <w:numPr>
          <w:ilvl w:val="0"/>
          <w:numId w:val="24"/>
        </w:numPr>
        <w:rPr>
          <w:rFonts w:asciiTheme="minorHAnsi" w:hAnsiTheme="minorHAnsi"/>
          <w:color w:val="000000" w:themeColor="text1"/>
          <w:szCs w:val="22"/>
        </w:rPr>
      </w:pPr>
      <w:r>
        <w:rPr>
          <w:rFonts w:asciiTheme="minorHAnsi" w:hAnsiTheme="minorHAnsi"/>
          <w:color w:val="000000" w:themeColor="text1"/>
          <w:szCs w:val="22"/>
        </w:rPr>
        <w:t>T</w:t>
      </w:r>
      <w:r w:rsidR="00034DC4">
        <w:rPr>
          <w:rFonts w:asciiTheme="minorHAnsi" w:hAnsiTheme="minorHAnsi"/>
          <w:color w:val="000000" w:themeColor="text1"/>
          <w:szCs w:val="22"/>
        </w:rPr>
        <w:t>he source of the personal information</w:t>
      </w:r>
      <w:r>
        <w:rPr>
          <w:rFonts w:asciiTheme="minorHAnsi" w:hAnsiTheme="minorHAnsi"/>
          <w:color w:val="000000" w:themeColor="text1"/>
          <w:szCs w:val="22"/>
        </w:rPr>
        <w:t xml:space="preserve"> disclosure</w:t>
      </w:r>
      <w:r w:rsidR="00034DC4">
        <w:rPr>
          <w:rFonts w:asciiTheme="minorHAnsi" w:hAnsiTheme="minorHAnsi"/>
          <w:color w:val="000000" w:themeColor="text1"/>
          <w:szCs w:val="22"/>
        </w:rPr>
        <w:t xml:space="preserve"> can be verified </w:t>
      </w:r>
    </w:p>
    <w:p w:rsidR="00C060AF" w:rsidRDefault="00C060AF" w:rsidP="00C060AF">
      <w:pPr>
        <w:rPr>
          <w:rFonts w:asciiTheme="minorHAnsi" w:hAnsiTheme="minorHAnsi"/>
          <w:color w:val="000000" w:themeColor="text1"/>
          <w:szCs w:val="22"/>
        </w:rPr>
      </w:pPr>
    </w:p>
    <w:p w:rsidR="00C060AF" w:rsidRDefault="000F2091" w:rsidP="00C060AF">
      <w:pPr>
        <w:rPr>
          <w:rFonts w:asciiTheme="minorHAnsi" w:hAnsiTheme="minorHAnsi"/>
          <w:color w:val="000000" w:themeColor="text1"/>
          <w:szCs w:val="22"/>
        </w:rPr>
      </w:pPr>
      <w:r>
        <w:rPr>
          <w:rFonts w:asciiTheme="minorHAnsi" w:hAnsiTheme="minorHAnsi"/>
          <w:color w:val="000000" w:themeColor="text1"/>
          <w:szCs w:val="22"/>
        </w:rPr>
        <w:t>[</w:t>
      </w:r>
      <w:proofErr w:type="gramStart"/>
      <w:r>
        <w:rPr>
          <w:rFonts w:asciiTheme="minorHAnsi" w:hAnsiTheme="minorHAnsi"/>
          <w:color w:val="000000" w:themeColor="text1"/>
          <w:szCs w:val="22"/>
        </w:rPr>
        <w:t>insert</w:t>
      </w:r>
      <w:proofErr w:type="gramEnd"/>
      <w:r>
        <w:rPr>
          <w:rFonts w:asciiTheme="minorHAnsi" w:hAnsiTheme="minorHAnsi"/>
          <w:color w:val="000000" w:themeColor="text1"/>
          <w:szCs w:val="22"/>
        </w:rPr>
        <w:t xml:space="preserve"> customer company name]</w:t>
      </w:r>
      <w:r w:rsidR="00C060AF">
        <w:rPr>
          <w:rFonts w:asciiTheme="minorHAnsi" w:hAnsiTheme="minorHAnsi"/>
          <w:color w:val="000000" w:themeColor="text1"/>
          <w:szCs w:val="22"/>
        </w:rPr>
        <w:t xml:space="preserve"> reserves the right to carry out periodic audits to verify the undertaking given by </w:t>
      </w:r>
      <w:r w:rsidR="0083138A">
        <w:rPr>
          <w:rFonts w:asciiTheme="minorHAnsi" w:hAnsiTheme="minorHAnsi"/>
          <w:color w:val="000000" w:themeColor="text1"/>
          <w:szCs w:val="22"/>
        </w:rPr>
        <w:t xml:space="preserve"> [insert supplier company name] has been met</w:t>
      </w:r>
      <w:r w:rsidR="00C060AF">
        <w:rPr>
          <w:rFonts w:asciiTheme="minorHAnsi" w:hAnsiTheme="minorHAnsi"/>
          <w:color w:val="000000" w:themeColor="text1"/>
          <w:szCs w:val="22"/>
        </w:rPr>
        <w:t xml:space="preserve"> and should </w:t>
      </w:r>
      <w:r>
        <w:rPr>
          <w:rFonts w:asciiTheme="minorHAnsi" w:hAnsiTheme="minorHAnsi"/>
          <w:color w:val="000000" w:themeColor="text1"/>
          <w:szCs w:val="22"/>
        </w:rPr>
        <w:t xml:space="preserve">[insert customer company name] </w:t>
      </w:r>
      <w:r w:rsidR="00C060AF">
        <w:rPr>
          <w:rFonts w:asciiTheme="minorHAnsi" w:hAnsiTheme="minorHAnsi"/>
          <w:color w:val="000000" w:themeColor="text1"/>
          <w:szCs w:val="22"/>
        </w:rPr>
        <w:t xml:space="preserve">not be entirely satisfied </w:t>
      </w:r>
      <w:r w:rsidR="005B0876">
        <w:rPr>
          <w:rFonts w:asciiTheme="minorHAnsi" w:hAnsiTheme="minorHAnsi"/>
          <w:color w:val="000000" w:themeColor="text1"/>
          <w:szCs w:val="22"/>
        </w:rPr>
        <w:t xml:space="preserve">this will be sufficient </w:t>
      </w:r>
      <w:r w:rsidR="00C060AF">
        <w:rPr>
          <w:rFonts w:asciiTheme="minorHAnsi" w:hAnsiTheme="minorHAnsi"/>
          <w:color w:val="000000" w:themeColor="text1"/>
          <w:szCs w:val="22"/>
        </w:rPr>
        <w:t>grounds for immediate cancellation of the supplier contract without any penalty whatsoever.</w:t>
      </w:r>
    </w:p>
    <w:p w:rsidR="004408B8" w:rsidRDefault="004408B8" w:rsidP="00C060AF">
      <w:pPr>
        <w:rPr>
          <w:rFonts w:asciiTheme="minorHAnsi" w:hAnsiTheme="minorHAnsi"/>
          <w:color w:val="000000" w:themeColor="text1"/>
          <w:szCs w:val="22"/>
        </w:rPr>
      </w:pPr>
    </w:p>
    <w:p w:rsidR="004408B8" w:rsidRDefault="004408B8" w:rsidP="00C060AF">
      <w:pPr>
        <w:rPr>
          <w:rFonts w:asciiTheme="minorHAnsi" w:hAnsiTheme="minorHAnsi"/>
          <w:color w:val="000000" w:themeColor="text1"/>
          <w:szCs w:val="22"/>
        </w:rPr>
      </w:pPr>
      <w:bookmarkStart w:id="2" w:name="_GoBack"/>
      <w:r>
        <w:rPr>
          <w:rFonts w:asciiTheme="minorHAnsi" w:hAnsiTheme="minorHAnsi"/>
          <w:color w:val="000000" w:themeColor="text1"/>
          <w:szCs w:val="22"/>
        </w:rPr>
        <w:t>Option 4: Personal information not collected directly from the data subject</w:t>
      </w:r>
    </w:p>
    <w:p w:rsidR="004408B8" w:rsidRDefault="004408B8" w:rsidP="00C060AF">
      <w:pPr>
        <w:rPr>
          <w:rFonts w:asciiTheme="minorHAnsi" w:hAnsiTheme="minorHAnsi"/>
          <w:color w:val="000000" w:themeColor="text1"/>
          <w:szCs w:val="22"/>
        </w:rPr>
      </w:pPr>
    </w:p>
    <w:p w:rsidR="004408B8" w:rsidRPr="004408B8" w:rsidRDefault="004408B8" w:rsidP="004408B8">
      <w:pPr>
        <w:pStyle w:val="ListParagraph"/>
        <w:numPr>
          <w:ilvl w:val="0"/>
          <w:numId w:val="25"/>
        </w:numPr>
        <w:rPr>
          <w:rFonts w:asciiTheme="minorHAnsi" w:hAnsiTheme="minorHAnsi"/>
          <w:color w:val="000000" w:themeColor="text1"/>
          <w:szCs w:val="22"/>
        </w:rPr>
      </w:pPr>
      <w:r>
        <w:rPr>
          <w:rFonts w:asciiTheme="minorHAnsi" w:hAnsiTheme="minorHAnsi"/>
          <w:color w:val="000000" w:themeColor="text1"/>
          <w:szCs w:val="22"/>
        </w:rPr>
        <w:t>The personal information was sourced from a service provider who can produce proof that the personal information was obtained with permission for re-use for marketing purposes</w:t>
      </w:r>
      <w:r>
        <w:rPr>
          <w:rFonts w:asciiTheme="minorHAnsi" w:hAnsiTheme="minorHAnsi"/>
          <w:color w:val="000000" w:themeColor="text1"/>
          <w:szCs w:val="22"/>
        </w:rPr>
        <w:br/>
      </w:r>
      <w:r w:rsidRPr="004408B8">
        <w:rPr>
          <w:rFonts w:asciiTheme="minorHAnsi" w:hAnsiTheme="minorHAnsi"/>
          <w:i/>
          <w:color w:val="000000" w:themeColor="text1"/>
          <w:szCs w:val="22"/>
        </w:rPr>
        <w:t>and that</w:t>
      </w:r>
    </w:p>
    <w:p w:rsidR="00F70D02" w:rsidRPr="00F75616" w:rsidRDefault="004408B8" w:rsidP="00F75616">
      <w:pPr>
        <w:pStyle w:val="ListParagraph"/>
        <w:numPr>
          <w:ilvl w:val="0"/>
          <w:numId w:val="25"/>
        </w:numPr>
        <w:rPr>
          <w:rFonts w:asciiTheme="minorHAnsi" w:hAnsiTheme="minorHAnsi"/>
          <w:color w:val="000000" w:themeColor="text1"/>
          <w:szCs w:val="22"/>
        </w:rPr>
      </w:pPr>
      <w:r w:rsidRPr="00F75616">
        <w:rPr>
          <w:rFonts w:asciiTheme="minorHAnsi" w:hAnsiTheme="minorHAnsi"/>
          <w:color w:val="000000" w:themeColor="text1"/>
          <w:szCs w:val="22"/>
        </w:rPr>
        <w:t>The source of the personal information disclosure can be verified</w:t>
      </w:r>
    </w:p>
    <w:bookmarkEnd w:id="2"/>
    <w:p w:rsidR="00B1346C" w:rsidRPr="00B1346C" w:rsidRDefault="00B1346C" w:rsidP="00B1346C">
      <w:pPr>
        <w:jc w:val="center"/>
        <w:rPr>
          <w:rFonts w:asciiTheme="minorHAnsi" w:hAnsiTheme="minorHAnsi"/>
          <w:b/>
          <w:color w:val="000000" w:themeColor="text1"/>
          <w:szCs w:val="22"/>
          <w:u w:val="single"/>
        </w:rPr>
      </w:pPr>
      <w:r w:rsidRPr="00B1346C">
        <w:rPr>
          <w:rFonts w:asciiTheme="minorHAnsi" w:hAnsiTheme="minorHAnsi"/>
          <w:b/>
          <w:color w:val="000000" w:themeColor="text1"/>
          <w:szCs w:val="22"/>
          <w:u w:val="single"/>
        </w:rPr>
        <w:lastRenderedPageBreak/>
        <w:t xml:space="preserve">Contract wording </w:t>
      </w:r>
      <w:r>
        <w:rPr>
          <w:rFonts w:asciiTheme="minorHAnsi" w:hAnsiTheme="minorHAnsi"/>
          <w:b/>
          <w:color w:val="000000" w:themeColor="text1"/>
          <w:szCs w:val="22"/>
          <w:u w:val="single"/>
        </w:rPr>
        <w:t>end</w:t>
      </w:r>
      <w:r w:rsidRPr="00B1346C">
        <w:rPr>
          <w:rFonts w:asciiTheme="minorHAnsi" w:hAnsiTheme="minorHAnsi"/>
          <w:b/>
          <w:color w:val="000000" w:themeColor="text1"/>
          <w:szCs w:val="22"/>
          <w:u w:val="single"/>
        </w:rPr>
        <w:t>s</w:t>
      </w:r>
    </w:p>
    <w:p w:rsidR="00B1346C" w:rsidRDefault="00B1346C" w:rsidP="00034DC4">
      <w:pPr>
        <w:rPr>
          <w:rFonts w:asciiTheme="minorHAnsi" w:hAnsiTheme="minorHAnsi"/>
          <w:color w:val="000000" w:themeColor="text1"/>
          <w:szCs w:val="22"/>
        </w:rPr>
      </w:pPr>
    </w:p>
    <w:p w:rsidR="004408B8" w:rsidRDefault="00034DC4" w:rsidP="005B0876">
      <w:pPr>
        <w:jc w:val="both"/>
        <w:rPr>
          <w:rFonts w:asciiTheme="minorHAnsi" w:hAnsiTheme="minorHAnsi"/>
          <w:i/>
          <w:color w:val="000000" w:themeColor="text1"/>
          <w:szCs w:val="22"/>
        </w:rPr>
      </w:pPr>
      <w:r w:rsidRPr="00C060AF">
        <w:rPr>
          <w:rFonts w:asciiTheme="minorHAnsi" w:hAnsiTheme="minorHAnsi"/>
          <w:i/>
          <w:color w:val="000000" w:themeColor="text1"/>
          <w:szCs w:val="22"/>
        </w:rPr>
        <w:t>Dr Tobin’s advice: if the supplier of the personal information cannot comply with at least one of the three options above, then the Responsible Party (customer) buying the personal information may be complicit in illegal processing of personal information as defined in the POPI Act and subject to relevant enforcement action which could be taken by the Information Regulator.</w:t>
      </w:r>
    </w:p>
    <w:p w:rsidR="004408B8" w:rsidRDefault="004408B8" w:rsidP="005B0876">
      <w:pPr>
        <w:jc w:val="both"/>
        <w:rPr>
          <w:rFonts w:asciiTheme="minorHAnsi" w:hAnsiTheme="minorHAnsi"/>
          <w:i/>
          <w:color w:val="000000" w:themeColor="text1"/>
          <w:szCs w:val="22"/>
        </w:rPr>
      </w:pPr>
    </w:p>
    <w:p w:rsidR="005B0876" w:rsidRPr="00B1346C" w:rsidRDefault="005B0876" w:rsidP="005B0876">
      <w:pPr>
        <w:jc w:val="both"/>
        <w:rPr>
          <w:rFonts w:asciiTheme="minorHAnsi" w:hAnsiTheme="minorHAnsi"/>
          <w:b/>
          <w:color w:val="000000" w:themeColor="text1"/>
          <w:szCs w:val="22"/>
        </w:rPr>
      </w:pPr>
      <w:r w:rsidRPr="00B1346C">
        <w:rPr>
          <w:rFonts w:asciiTheme="minorHAnsi" w:hAnsiTheme="minorHAnsi"/>
          <w:b/>
          <w:color w:val="000000" w:themeColor="text1"/>
          <w:szCs w:val="22"/>
        </w:rPr>
        <w:t xml:space="preserve">Note 1: this advice </w:t>
      </w:r>
      <w:r>
        <w:rPr>
          <w:rFonts w:asciiTheme="minorHAnsi" w:hAnsiTheme="minorHAnsi"/>
          <w:b/>
          <w:color w:val="000000" w:themeColor="text1"/>
          <w:szCs w:val="22"/>
        </w:rPr>
        <w:t>below</w:t>
      </w:r>
      <w:r w:rsidRPr="00B1346C">
        <w:rPr>
          <w:rFonts w:asciiTheme="minorHAnsi" w:hAnsiTheme="minorHAnsi"/>
          <w:b/>
          <w:color w:val="000000" w:themeColor="text1"/>
          <w:szCs w:val="22"/>
        </w:rPr>
        <w:t xml:space="preserve"> applies to the UK Data Protection Act (DPA), not to the POPI Act. However, as the UK DPA and the POPI Act are broadly similar this advice has value in terms of POPI Act compliance.</w:t>
      </w:r>
    </w:p>
    <w:p w:rsidR="005B0876" w:rsidRDefault="005B0876" w:rsidP="00F70D02">
      <w:pPr>
        <w:rPr>
          <w:rFonts w:asciiTheme="minorHAnsi" w:hAnsiTheme="minorHAnsi"/>
          <w:color w:val="000000" w:themeColor="text1"/>
          <w:szCs w:val="22"/>
        </w:rPr>
      </w:pPr>
    </w:p>
    <w:p w:rsidR="00F70D02" w:rsidRDefault="00034DC4" w:rsidP="00F70D02">
      <w:pPr>
        <w:rPr>
          <w:rFonts w:asciiTheme="minorHAnsi" w:hAnsiTheme="minorHAnsi"/>
          <w:color w:val="000000" w:themeColor="text1"/>
          <w:szCs w:val="22"/>
          <w:u w:val="single"/>
        </w:rPr>
      </w:pPr>
      <w:r>
        <w:rPr>
          <w:rFonts w:asciiTheme="minorHAnsi" w:hAnsiTheme="minorHAnsi"/>
          <w:color w:val="000000" w:themeColor="text1"/>
          <w:szCs w:val="22"/>
        </w:rPr>
        <w:t xml:space="preserve"> </w:t>
      </w:r>
      <w:r w:rsidR="009561E0">
        <w:rPr>
          <w:rFonts w:asciiTheme="minorHAnsi" w:hAnsiTheme="minorHAnsi"/>
          <w:color w:val="000000" w:themeColor="text1"/>
          <w:szCs w:val="22"/>
          <w:u w:val="single"/>
        </w:rPr>
        <w:t>Extracts from ICO publication “</w:t>
      </w:r>
      <w:r w:rsidR="009561E0" w:rsidRPr="009561E0">
        <w:rPr>
          <w:rFonts w:asciiTheme="minorHAnsi" w:hAnsiTheme="minorHAnsi"/>
          <w:color w:val="000000" w:themeColor="text1"/>
          <w:szCs w:val="22"/>
          <w:u w:val="single"/>
        </w:rPr>
        <w:t>Buying and selling customer databases</w:t>
      </w:r>
      <w:r w:rsidR="009561E0">
        <w:rPr>
          <w:rFonts w:asciiTheme="minorHAnsi" w:hAnsiTheme="minorHAnsi"/>
          <w:color w:val="000000" w:themeColor="text1"/>
          <w:szCs w:val="22"/>
          <w:u w:val="single"/>
        </w:rPr>
        <w:t>” (2014)</w:t>
      </w:r>
    </w:p>
    <w:p w:rsidR="009561E0" w:rsidRPr="009561E0" w:rsidRDefault="009561E0" w:rsidP="00F70D02">
      <w:pPr>
        <w:rPr>
          <w:rFonts w:asciiTheme="minorHAnsi" w:hAnsiTheme="minorHAnsi"/>
          <w:color w:val="000000" w:themeColor="text1"/>
          <w:szCs w:val="22"/>
          <w:u w:val="single"/>
        </w:rPr>
      </w:pPr>
    </w:p>
    <w:p w:rsidR="009561E0" w:rsidRPr="00584470" w:rsidRDefault="009561E0" w:rsidP="00584470">
      <w:pPr>
        <w:autoSpaceDE w:val="0"/>
        <w:autoSpaceDN w:val="0"/>
        <w:adjustRightInd w:val="0"/>
        <w:jc w:val="both"/>
        <w:rPr>
          <w:rFonts w:asciiTheme="minorHAnsi" w:hAnsiTheme="minorHAnsi" w:cs="Georgia"/>
          <w:b/>
          <w:snapToGrid w:val="0"/>
          <w:color w:val="000000" w:themeColor="text1"/>
          <w:szCs w:val="22"/>
          <w:lang w:val="en-US"/>
        </w:rPr>
      </w:pPr>
      <w:r w:rsidRPr="00584470">
        <w:rPr>
          <w:rFonts w:asciiTheme="minorHAnsi" w:hAnsiTheme="minorHAnsi" w:cs="Georgia"/>
          <w:b/>
          <w:snapToGrid w:val="0"/>
          <w:color w:val="000000" w:themeColor="text1"/>
          <w:szCs w:val="22"/>
          <w:lang w:val="en-US"/>
        </w:rPr>
        <w:t>Can databases be sold?</w:t>
      </w:r>
    </w:p>
    <w:p w:rsidR="009561E0" w:rsidRPr="009561E0" w:rsidRDefault="009561E0" w:rsidP="00584470">
      <w:pPr>
        <w:autoSpaceDE w:val="0"/>
        <w:autoSpaceDN w:val="0"/>
        <w:adjustRightInd w:val="0"/>
        <w:jc w:val="both"/>
        <w:rPr>
          <w:rFonts w:asciiTheme="minorHAnsi" w:hAnsiTheme="minorHAnsi" w:cs="Georgia"/>
          <w:snapToGrid w:val="0"/>
          <w:color w:val="000000" w:themeColor="text1"/>
          <w:szCs w:val="22"/>
          <w:lang w:val="en-US"/>
        </w:rPr>
      </w:pPr>
    </w:p>
    <w:p w:rsidR="009561E0" w:rsidRPr="009561E0" w:rsidRDefault="009561E0" w:rsidP="00584470">
      <w:pPr>
        <w:autoSpaceDE w:val="0"/>
        <w:autoSpaceDN w:val="0"/>
        <w:adjustRightInd w:val="0"/>
        <w:jc w:val="both"/>
        <w:rPr>
          <w:rFonts w:asciiTheme="minorHAnsi" w:hAnsiTheme="minorHAnsi" w:cs="Verdana"/>
          <w:snapToGrid w:val="0"/>
          <w:color w:val="000000" w:themeColor="text1"/>
          <w:szCs w:val="22"/>
          <w:lang w:val="en-US"/>
        </w:rPr>
      </w:pPr>
      <w:r w:rsidRPr="009561E0">
        <w:rPr>
          <w:rFonts w:asciiTheme="minorHAnsi" w:hAnsiTheme="minorHAnsi" w:cs="Verdana"/>
          <w:snapToGrid w:val="0"/>
          <w:color w:val="000000" w:themeColor="text1"/>
          <w:szCs w:val="22"/>
          <w:lang w:val="en-US"/>
        </w:rPr>
        <w:t>Yes. If an organisation first obtains information from individuals</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with the intention of selling the database as a commercial asset,</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individuals should be informed how their information is going to be used, including that it will be sold.</w:t>
      </w:r>
    </w:p>
    <w:p w:rsidR="009561E0" w:rsidRPr="009561E0" w:rsidRDefault="009561E0" w:rsidP="00584470">
      <w:pPr>
        <w:autoSpaceDE w:val="0"/>
        <w:autoSpaceDN w:val="0"/>
        <w:adjustRightInd w:val="0"/>
        <w:jc w:val="both"/>
        <w:rPr>
          <w:rFonts w:asciiTheme="minorHAnsi" w:hAnsiTheme="minorHAnsi" w:cs="Verdana"/>
          <w:snapToGrid w:val="0"/>
          <w:color w:val="000000" w:themeColor="text1"/>
          <w:szCs w:val="22"/>
          <w:lang w:val="en-US"/>
        </w:rPr>
      </w:pPr>
    </w:p>
    <w:p w:rsidR="009561E0" w:rsidRPr="009561E0" w:rsidRDefault="009561E0" w:rsidP="00584470">
      <w:pPr>
        <w:autoSpaceDE w:val="0"/>
        <w:autoSpaceDN w:val="0"/>
        <w:adjustRightInd w:val="0"/>
        <w:jc w:val="both"/>
        <w:rPr>
          <w:rFonts w:asciiTheme="minorHAnsi" w:hAnsiTheme="minorHAnsi" w:cs="Verdana"/>
          <w:snapToGrid w:val="0"/>
          <w:color w:val="000000" w:themeColor="text1"/>
          <w:szCs w:val="22"/>
          <w:lang w:val="en-US"/>
        </w:rPr>
      </w:pPr>
      <w:r w:rsidRPr="009561E0">
        <w:rPr>
          <w:rFonts w:asciiTheme="minorHAnsi" w:hAnsiTheme="minorHAnsi" w:cs="Verdana"/>
          <w:snapToGrid w:val="0"/>
          <w:color w:val="000000" w:themeColor="text1"/>
          <w:szCs w:val="22"/>
          <w:lang w:val="en-US"/>
        </w:rPr>
        <w:t>Normally personal information in a database should not be sold if</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the individuals have not been told originally that their information</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could be passed on to other organisations.</w:t>
      </w:r>
    </w:p>
    <w:p w:rsidR="009561E0" w:rsidRPr="009561E0" w:rsidRDefault="009561E0" w:rsidP="00584470">
      <w:pPr>
        <w:autoSpaceDE w:val="0"/>
        <w:autoSpaceDN w:val="0"/>
        <w:adjustRightInd w:val="0"/>
        <w:jc w:val="both"/>
        <w:rPr>
          <w:rFonts w:asciiTheme="minorHAnsi" w:hAnsiTheme="minorHAnsi" w:cs="Verdana"/>
          <w:snapToGrid w:val="0"/>
          <w:color w:val="000000" w:themeColor="text1"/>
          <w:szCs w:val="22"/>
          <w:lang w:val="en-US"/>
        </w:rPr>
      </w:pPr>
    </w:p>
    <w:p w:rsidR="009561E0" w:rsidRPr="00584470" w:rsidRDefault="009561E0" w:rsidP="00584470">
      <w:pPr>
        <w:autoSpaceDE w:val="0"/>
        <w:autoSpaceDN w:val="0"/>
        <w:adjustRightInd w:val="0"/>
        <w:jc w:val="both"/>
        <w:rPr>
          <w:rFonts w:asciiTheme="minorHAnsi" w:hAnsiTheme="minorHAnsi" w:cs="Georgia"/>
          <w:b/>
          <w:snapToGrid w:val="0"/>
          <w:color w:val="000000" w:themeColor="text1"/>
          <w:szCs w:val="22"/>
          <w:lang w:val="en-US"/>
        </w:rPr>
      </w:pPr>
      <w:r w:rsidRPr="00584470">
        <w:rPr>
          <w:rFonts w:asciiTheme="minorHAnsi" w:hAnsiTheme="minorHAnsi" w:cs="Georgia"/>
          <w:b/>
          <w:snapToGrid w:val="0"/>
          <w:color w:val="000000" w:themeColor="text1"/>
          <w:szCs w:val="22"/>
          <w:lang w:val="en-US"/>
        </w:rPr>
        <w:t>What can a buyer use the personal information for?</w:t>
      </w:r>
    </w:p>
    <w:p w:rsidR="009561E0" w:rsidRPr="009561E0" w:rsidRDefault="009561E0" w:rsidP="00584470">
      <w:pPr>
        <w:autoSpaceDE w:val="0"/>
        <w:autoSpaceDN w:val="0"/>
        <w:adjustRightInd w:val="0"/>
        <w:jc w:val="both"/>
        <w:rPr>
          <w:rFonts w:asciiTheme="minorHAnsi" w:hAnsiTheme="minorHAnsi" w:cs="Georgia"/>
          <w:snapToGrid w:val="0"/>
          <w:color w:val="000000" w:themeColor="text1"/>
          <w:szCs w:val="22"/>
          <w:lang w:val="en-US"/>
        </w:rPr>
      </w:pPr>
    </w:p>
    <w:p w:rsidR="009561E0" w:rsidRDefault="009561E0" w:rsidP="00584470">
      <w:pPr>
        <w:autoSpaceDE w:val="0"/>
        <w:autoSpaceDN w:val="0"/>
        <w:adjustRightInd w:val="0"/>
        <w:jc w:val="both"/>
        <w:rPr>
          <w:rFonts w:asciiTheme="minorHAnsi" w:hAnsiTheme="minorHAnsi" w:cs="Verdana"/>
          <w:snapToGrid w:val="0"/>
          <w:color w:val="000000" w:themeColor="text1"/>
          <w:szCs w:val="22"/>
          <w:lang w:val="en-US"/>
        </w:rPr>
      </w:pPr>
      <w:r w:rsidRPr="009561E0">
        <w:rPr>
          <w:rFonts w:asciiTheme="minorHAnsi" w:hAnsiTheme="minorHAnsi" w:cs="Verdana"/>
          <w:snapToGrid w:val="0"/>
          <w:color w:val="000000" w:themeColor="text1"/>
          <w:szCs w:val="22"/>
          <w:lang w:val="en-US"/>
        </w:rPr>
        <w:t>When personal information covered by the Act is collected from</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individuals it should be clear to them what it will be used for. When</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a database is sold, the seller must make sure that the buyer</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understands that they can only use the information for the purposes</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for which it was collected. Any use of this personal information</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should be within the reasonable expectations of the individuals</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concerned. So, when a database is sold, its use should stay the</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same or similar. For example, if the database contains information</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obtained for insurance, the database should only be sold to another</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insurance-based business providing similar insurance products.</w:t>
      </w:r>
    </w:p>
    <w:p w:rsidR="00584470" w:rsidRPr="009561E0" w:rsidRDefault="00584470" w:rsidP="00584470">
      <w:pPr>
        <w:autoSpaceDE w:val="0"/>
        <w:autoSpaceDN w:val="0"/>
        <w:adjustRightInd w:val="0"/>
        <w:jc w:val="both"/>
        <w:rPr>
          <w:rFonts w:asciiTheme="minorHAnsi" w:hAnsiTheme="minorHAnsi" w:cs="Verdana"/>
          <w:snapToGrid w:val="0"/>
          <w:color w:val="000000" w:themeColor="text1"/>
          <w:szCs w:val="22"/>
          <w:lang w:val="en-US"/>
        </w:rPr>
      </w:pPr>
    </w:p>
    <w:p w:rsidR="009561E0" w:rsidRPr="009561E0" w:rsidRDefault="009561E0" w:rsidP="00584470">
      <w:pPr>
        <w:autoSpaceDE w:val="0"/>
        <w:autoSpaceDN w:val="0"/>
        <w:adjustRightInd w:val="0"/>
        <w:jc w:val="both"/>
        <w:rPr>
          <w:rFonts w:asciiTheme="minorHAnsi" w:hAnsiTheme="minorHAnsi" w:cs="Arial"/>
          <w:snapToGrid w:val="0"/>
          <w:color w:val="000000" w:themeColor="text1"/>
          <w:szCs w:val="22"/>
          <w:lang w:val="en-US"/>
        </w:rPr>
      </w:pPr>
      <w:r w:rsidRPr="009561E0">
        <w:rPr>
          <w:rFonts w:asciiTheme="minorHAnsi" w:hAnsiTheme="minorHAnsi" w:cs="Verdana"/>
          <w:snapToGrid w:val="0"/>
          <w:color w:val="000000" w:themeColor="text1"/>
          <w:szCs w:val="22"/>
          <w:lang w:val="en-US"/>
        </w:rPr>
        <w:t>Selling it to a business for a different use is likely to be incompatible with the original purpose and likely to go beyond the expectations</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of the individuals.</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The buyer of any database should be aware that they can only use</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the personal information on it in line with the purposes for which it</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was originally collected. They need to know what these purposes</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were when they buy the database. If the buyer wants to use the</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personal information for a new purpose, they will have to get</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consent for this from the individuals concerned. As the original</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collector of the information, the seller has a responsibility to ensure</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that the personal information is used properly. This can be achieved</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by making it clear to the buyer what the information can or cannot</w:t>
      </w:r>
      <w:r w:rsidR="00584470">
        <w:rPr>
          <w:rFonts w:asciiTheme="minorHAnsi" w:hAnsiTheme="minorHAnsi" w:cs="Verdana"/>
          <w:snapToGrid w:val="0"/>
          <w:color w:val="000000" w:themeColor="text1"/>
          <w:szCs w:val="22"/>
          <w:lang w:val="en-US"/>
        </w:rPr>
        <w:t xml:space="preserve"> </w:t>
      </w:r>
      <w:r w:rsidRPr="009561E0">
        <w:rPr>
          <w:rFonts w:asciiTheme="minorHAnsi" w:hAnsiTheme="minorHAnsi" w:cs="Verdana"/>
          <w:snapToGrid w:val="0"/>
          <w:color w:val="000000" w:themeColor="text1"/>
          <w:szCs w:val="22"/>
          <w:lang w:val="en-US"/>
        </w:rPr>
        <w:t>be used for</w:t>
      </w:r>
      <w:r w:rsidRPr="009561E0">
        <w:rPr>
          <w:rFonts w:asciiTheme="minorHAnsi" w:hAnsiTheme="minorHAnsi" w:cs="Arial"/>
          <w:snapToGrid w:val="0"/>
          <w:color w:val="000000" w:themeColor="text1"/>
          <w:szCs w:val="22"/>
          <w:lang w:val="en-US"/>
        </w:rPr>
        <w:t>.</w:t>
      </w:r>
    </w:p>
    <w:p w:rsidR="009561E0" w:rsidRPr="009561E0" w:rsidRDefault="009561E0" w:rsidP="009561E0">
      <w:pPr>
        <w:autoSpaceDE w:val="0"/>
        <w:autoSpaceDN w:val="0"/>
        <w:adjustRightInd w:val="0"/>
        <w:rPr>
          <w:rFonts w:asciiTheme="minorHAnsi" w:hAnsiTheme="minorHAnsi" w:cs="Arial"/>
          <w:snapToGrid w:val="0"/>
          <w:color w:val="000000" w:themeColor="text1"/>
          <w:szCs w:val="22"/>
          <w:lang w:val="en-US"/>
        </w:rPr>
      </w:pPr>
    </w:p>
    <w:p w:rsidR="00584470" w:rsidRPr="00B1346C" w:rsidRDefault="00584470" w:rsidP="00B1346C">
      <w:pPr>
        <w:jc w:val="both"/>
        <w:rPr>
          <w:rFonts w:asciiTheme="minorHAnsi" w:hAnsiTheme="minorHAnsi"/>
          <w:b/>
          <w:color w:val="000000" w:themeColor="text1"/>
          <w:szCs w:val="22"/>
        </w:rPr>
      </w:pPr>
      <w:r w:rsidRPr="00B1346C">
        <w:rPr>
          <w:rFonts w:asciiTheme="minorHAnsi" w:hAnsiTheme="minorHAnsi"/>
          <w:b/>
          <w:color w:val="000000" w:themeColor="text1"/>
          <w:szCs w:val="22"/>
        </w:rPr>
        <w:t>Note 2: the POPI Act provisions for direct marketing apply specifically to Electronic Direct Marketing in Section 69. Direct marketing by other means is covered in Chapter 3</w:t>
      </w:r>
      <w:r w:rsidR="00B1346C">
        <w:rPr>
          <w:rFonts w:asciiTheme="minorHAnsi" w:hAnsiTheme="minorHAnsi"/>
          <w:b/>
          <w:color w:val="000000" w:themeColor="text1"/>
          <w:szCs w:val="22"/>
        </w:rPr>
        <w:t>. See extracts from the POPI Act below.</w:t>
      </w:r>
    </w:p>
    <w:p w:rsidR="00584470" w:rsidRDefault="00584470" w:rsidP="00584470">
      <w:pPr>
        <w:rPr>
          <w:rFonts w:asciiTheme="minorHAnsi" w:hAnsiTheme="minorHAnsi"/>
          <w:color w:val="000000" w:themeColor="text1"/>
          <w:szCs w:val="22"/>
        </w:rPr>
      </w:pPr>
    </w:p>
    <w:p w:rsidR="00584470" w:rsidRPr="009561E0" w:rsidRDefault="00584470" w:rsidP="00584470">
      <w:pPr>
        <w:rPr>
          <w:rFonts w:asciiTheme="minorHAnsi" w:hAnsiTheme="minorHAnsi"/>
          <w:color w:val="000000" w:themeColor="text1"/>
          <w:szCs w:val="22"/>
        </w:rPr>
      </w:pPr>
      <w:r>
        <w:rPr>
          <w:rFonts w:asciiTheme="minorHAnsi" w:hAnsiTheme="minorHAnsi"/>
          <w:noProof/>
          <w:snapToGrid w:val="0"/>
          <w:color w:val="000000" w:themeColor="text1"/>
          <w:szCs w:val="22"/>
          <w:lang w:val="en-ZA" w:eastAsia="en-ZA"/>
        </w:rPr>
        <w:drawing>
          <wp:inline distT="0" distB="0" distL="0" distR="0">
            <wp:extent cx="5731510" cy="697675"/>
            <wp:effectExtent l="19050" t="0" r="254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31510" cy="697675"/>
                    </a:xfrm>
                    <a:prstGeom prst="rect">
                      <a:avLst/>
                    </a:prstGeom>
                    <a:noFill/>
                    <a:ln w="9525">
                      <a:noFill/>
                      <a:miter lim="800000"/>
                      <a:headEnd/>
                      <a:tailEnd/>
                    </a:ln>
                  </pic:spPr>
                </pic:pic>
              </a:graphicData>
            </a:graphic>
          </wp:inline>
        </w:drawing>
      </w:r>
      <w:r>
        <w:rPr>
          <w:rFonts w:asciiTheme="minorHAnsi" w:hAnsiTheme="minorHAnsi"/>
          <w:color w:val="000000" w:themeColor="text1"/>
          <w:szCs w:val="22"/>
        </w:rPr>
        <w:t xml:space="preserve"> </w:t>
      </w:r>
    </w:p>
    <w:p w:rsidR="00670025" w:rsidRDefault="00584470">
      <w:pPr>
        <w:rPr>
          <w:rFonts w:asciiTheme="minorHAnsi" w:hAnsiTheme="minorHAnsi"/>
          <w:color w:val="000000" w:themeColor="text1"/>
          <w:szCs w:val="22"/>
        </w:rPr>
      </w:pPr>
      <w:r>
        <w:rPr>
          <w:rFonts w:asciiTheme="minorHAnsi" w:hAnsiTheme="minorHAnsi"/>
          <w:noProof/>
          <w:snapToGrid w:val="0"/>
          <w:color w:val="000000" w:themeColor="text1"/>
          <w:szCs w:val="22"/>
          <w:lang w:val="en-ZA" w:eastAsia="en-ZA"/>
        </w:rPr>
        <w:lastRenderedPageBreak/>
        <w:drawing>
          <wp:inline distT="0" distB="0" distL="0" distR="0">
            <wp:extent cx="5731510" cy="905851"/>
            <wp:effectExtent l="1905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731510" cy="905851"/>
                    </a:xfrm>
                    <a:prstGeom prst="rect">
                      <a:avLst/>
                    </a:prstGeom>
                    <a:noFill/>
                    <a:ln w="9525">
                      <a:noFill/>
                      <a:miter lim="800000"/>
                      <a:headEnd/>
                      <a:tailEnd/>
                    </a:ln>
                  </pic:spPr>
                </pic:pic>
              </a:graphicData>
            </a:graphic>
          </wp:inline>
        </w:drawing>
      </w:r>
    </w:p>
    <w:p w:rsidR="00584470" w:rsidRDefault="00584470">
      <w:pPr>
        <w:rPr>
          <w:rFonts w:asciiTheme="minorHAnsi" w:hAnsiTheme="minorHAnsi"/>
          <w:color w:val="000000" w:themeColor="text1"/>
          <w:szCs w:val="22"/>
        </w:rPr>
      </w:pPr>
    </w:p>
    <w:p w:rsidR="00584470" w:rsidRDefault="00584470">
      <w:pPr>
        <w:rPr>
          <w:rFonts w:asciiTheme="minorHAnsi" w:hAnsiTheme="minorHAnsi"/>
          <w:color w:val="000000" w:themeColor="text1"/>
          <w:szCs w:val="22"/>
        </w:rPr>
      </w:pPr>
      <w:r>
        <w:rPr>
          <w:rFonts w:asciiTheme="minorHAnsi" w:hAnsiTheme="minorHAnsi"/>
          <w:noProof/>
          <w:snapToGrid w:val="0"/>
          <w:color w:val="000000" w:themeColor="text1"/>
          <w:szCs w:val="22"/>
          <w:lang w:val="en-ZA" w:eastAsia="en-ZA"/>
        </w:rPr>
        <w:drawing>
          <wp:inline distT="0" distB="0" distL="0" distR="0">
            <wp:extent cx="5731510" cy="1293884"/>
            <wp:effectExtent l="1905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5731510" cy="1293884"/>
                    </a:xfrm>
                    <a:prstGeom prst="rect">
                      <a:avLst/>
                    </a:prstGeom>
                    <a:noFill/>
                    <a:ln w="9525">
                      <a:noFill/>
                      <a:miter lim="800000"/>
                      <a:headEnd/>
                      <a:tailEnd/>
                    </a:ln>
                  </pic:spPr>
                </pic:pic>
              </a:graphicData>
            </a:graphic>
          </wp:inline>
        </w:drawing>
      </w:r>
    </w:p>
    <w:p w:rsidR="00584470" w:rsidRDefault="00584470">
      <w:pPr>
        <w:rPr>
          <w:rFonts w:asciiTheme="minorHAnsi" w:hAnsiTheme="minorHAnsi"/>
          <w:color w:val="000000" w:themeColor="text1"/>
          <w:szCs w:val="22"/>
        </w:rPr>
      </w:pPr>
    </w:p>
    <w:p w:rsidR="00584470" w:rsidRDefault="00584470">
      <w:pPr>
        <w:rPr>
          <w:rFonts w:asciiTheme="minorHAnsi" w:hAnsiTheme="minorHAnsi"/>
          <w:color w:val="000000" w:themeColor="text1"/>
          <w:szCs w:val="22"/>
        </w:rPr>
      </w:pPr>
      <w:r>
        <w:rPr>
          <w:rFonts w:asciiTheme="minorHAnsi" w:hAnsiTheme="minorHAnsi"/>
          <w:noProof/>
          <w:snapToGrid w:val="0"/>
          <w:color w:val="000000" w:themeColor="text1"/>
          <w:szCs w:val="22"/>
          <w:lang w:val="en-ZA" w:eastAsia="en-ZA"/>
        </w:rPr>
        <w:drawing>
          <wp:inline distT="0" distB="0" distL="0" distR="0">
            <wp:extent cx="5731510" cy="1365121"/>
            <wp:effectExtent l="1905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5731510" cy="1365121"/>
                    </a:xfrm>
                    <a:prstGeom prst="rect">
                      <a:avLst/>
                    </a:prstGeom>
                    <a:noFill/>
                    <a:ln w="9525">
                      <a:noFill/>
                      <a:miter lim="800000"/>
                      <a:headEnd/>
                      <a:tailEnd/>
                    </a:ln>
                  </pic:spPr>
                </pic:pic>
              </a:graphicData>
            </a:graphic>
          </wp:inline>
        </w:drawing>
      </w:r>
    </w:p>
    <w:p w:rsidR="00584470" w:rsidRPr="009561E0" w:rsidRDefault="00584470">
      <w:pPr>
        <w:rPr>
          <w:rFonts w:asciiTheme="minorHAnsi" w:hAnsiTheme="minorHAnsi"/>
          <w:color w:val="000000" w:themeColor="text1"/>
          <w:szCs w:val="22"/>
        </w:rPr>
      </w:pPr>
      <w:r>
        <w:rPr>
          <w:rFonts w:asciiTheme="minorHAnsi" w:hAnsiTheme="minorHAnsi"/>
          <w:noProof/>
          <w:snapToGrid w:val="0"/>
          <w:color w:val="000000" w:themeColor="text1"/>
          <w:szCs w:val="22"/>
          <w:lang w:val="en-ZA" w:eastAsia="en-ZA"/>
        </w:rPr>
        <w:drawing>
          <wp:inline distT="0" distB="0" distL="0" distR="0">
            <wp:extent cx="5731510" cy="2874488"/>
            <wp:effectExtent l="1905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5731510" cy="2874488"/>
                    </a:xfrm>
                    <a:prstGeom prst="rect">
                      <a:avLst/>
                    </a:prstGeom>
                    <a:noFill/>
                    <a:ln w="9525">
                      <a:noFill/>
                      <a:miter lim="800000"/>
                      <a:headEnd/>
                      <a:tailEnd/>
                    </a:ln>
                  </pic:spPr>
                </pic:pic>
              </a:graphicData>
            </a:graphic>
          </wp:inline>
        </w:drawing>
      </w:r>
    </w:p>
    <w:sectPr w:rsidR="00584470" w:rsidRPr="009561E0" w:rsidSect="003D7BE1">
      <w:footerReference w:type="default" r:id="rId13"/>
      <w:pgSz w:w="11906" w:h="16838"/>
      <w:pgMar w:top="1440" w:right="1440" w:bottom="1440" w:left="1440" w:header="720" w:footer="720" w:gutter="0"/>
      <w:pgBorders w:offsetFrom="page">
        <w:top w:val="single" w:sz="24" w:space="24" w:color="auto"/>
        <w:left w:val="single" w:sz="24" w:space="24" w:color="auto"/>
        <w:bottom w:val="single" w:sz="24" w:space="24" w:color="auto"/>
        <w:right w:val="single"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343" w:rsidRDefault="00FA3343" w:rsidP="002C5A54">
      <w:r>
        <w:separator/>
      </w:r>
    </w:p>
  </w:endnote>
  <w:endnote w:type="continuationSeparator" w:id="0">
    <w:p w:rsidR="00FA3343" w:rsidRDefault="00FA3343" w:rsidP="002C5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A54" w:rsidRDefault="002C5A54">
    <w:pPr>
      <w:pStyle w:val="Footer"/>
    </w:pPr>
    <w:r w:rsidRPr="002C5A54">
      <w:t>Copyright © John Cato &amp; Dr Peter Tobin, 201</w:t>
    </w:r>
    <w:r w:rsidR="004408B8">
      <w:t>8</w:t>
    </w:r>
    <w:r w:rsidRPr="002C5A54">
      <w:t>.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343" w:rsidRDefault="00FA3343" w:rsidP="002C5A54">
      <w:r>
        <w:separator/>
      </w:r>
    </w:p>
  </w:footnote>
  <w:footnote w:type="continuationSeparator" w:id="0">
    <w:p w:rsidR="00FA3343" w:rsidRDefault="00FA3343" w:rsidP="002C5A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2B63D2"/>
    <w:multiLevelType w:val="hybridMultilevel"/>
    <w:tmpl w:val="5EFC5D8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3B492DB3"/>
    <w:multiLevelType w:val="hybridMultilevel"/>
    <w:tmpl w:val="D982D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DC1D7A"/>
    <w:multiLevelType w:val="hybridMultilevel"/>
    <w:tmpl w:val="B7860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A33826"/>
    <w:multiLevelType w:val="hybridMultilevel"/>
    <w:tmpl w:val="B7860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735E48"/>
    <w:multiLevelType w:val="multilevel"/>
    <w:tmpl w:val="AB38F0E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Calibri" w:hAnsi="Calibri" w:hint="default"/>
        <w:b/>
        <w:i w:val="0"/>
        <w:sz w:val="22"/>
        <w:szCs w:val="22"/>
      </w:rPr>
    </w:lvl>
    <w:lvl w:ilvl="2">
      <w:start w:val="1"/>
      <w:numFmt w:val="decimal"/>
      <w:pStyle w:val="Heading3"/>
      <w:lvlText w:val="%1.%2.%3"/>
      <w:lvlJc w:val="left"/>
      <w:pPr>
        <w:tabs>
          <w:tab w:val="num" w:pos="720"/>
        </w:tabs>
        <w:ind w:left="720" w:hanging="720"/>
      </w:pPr>
      <w:rPr>
        <w:rFonts w:ascii="Times New Roman" w:hAnsi="Times New Roman" w:hint="default"/>
        <w:b/>
        <w:i w:val="0"/>
        <w:sz w:val="24"/>
        <w:szCs w:val="24"/>
      </w:rPr>
    </w:lvl>
    <w:lvl w:ilvl="3">
      <w:start w:val="1"/>
      <w:numFmt w:val="decimal"/>
      <w:pStyle w:val="Heading4"/>
      <w:lvlText w:val="%1.%2.%3.%4"/>
      <w:lvlJc w:val="left"/>
      <w:pPr>
        <w:tabs>
          <w:tab w:val="num" w:pos="864"/>
        </w:tabs>
        <w:ind w:left="864" w:hanging="864"/>
      </w:pPr>
      <w:rPr>
        <w:rFonts w:ascii="Times New Roman" w:hAnsi="Times New Roman" w:hint="default"/>
        <w:b/>
        <w:i w:val="0"/>
        <w:sz w:val="24"/>
        <w:szCs w:val="24"/>
      </w:rPr>
    </w:lvl>
    <w:lvl w:ilvl="4">
      <w:start w:val="1"/>
      <w:numFmt w:val="decimal"/>
      <w:pStyle w:val="Heading5"/>
      <w:lvlText w:val="%1.%2.%3.%4.%5"/>
      <w:lvlJc w:val="left"/>
      <w:pPr>
        <w:tabs>
          <w:tab w:val="num" w:pos="1008"/>
        </w:tabs>
        <w:ind w:left="1008" w:hanging="1008"/>
      </w:pPr>
      <w:rPr>
        <w:rFonts w:ascii="Times New Roman" w:hAnsi="Times New Roman" w:hint="default"/>
        <w:b/>
        <w:i w:val="0"/>
        <w:sz w:val="24"/>
        <w:szCs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1"/>
  </w:num>
  <w:num w:numId="23">
    <w:abstractNumId w:val="3"/>
  </w:num>
  <w:num w:numId="24">
    <w:abstractNumId w:val="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70025"/>
    <w:rsid w:val="00034DC4"/>
    <w:rsid w:val="00055E8A"/>
    <w:rsid w:val="000A082D"/>
    <w:rsid w:val="000B39CA"/>
    <w:rsid w:val="000B674B"/>
    <w:rsid w:val="000C320E"/>
    <w:rsid w:val="000F2091"/>
    <w:rsid w:val="00133CB5"/>
    <w:rsid w:val="00157340"/>
    <w:rsid w:val="0016020D"/>
    <w:rsid w:val="001966DC"/>
    <w:rsid w:val="001A192C"/>
    <w:rsid w:val="00272530"/>
    <w:rsid w:val="0029783C"/>
    <w:rsid w:val="002A7305"/>
    <w:rsid w:val="002C5A54"/>
    <w:rsid w:val="002F34C3"/>
    <w:rsid w:val="00392C73"/>
    <w:rsid w:val="003B0791"/>
    <w:rsid w:val="003D7BE1"/>
    <w:rsid w:val="00433F01"/>
    <w:rsid w:val="004408B8"/>
    <w:rsid w:val="004B226D"/>
    <w:rsid w:val="00584470"/>
    <w:rsid w:val="005B0876"/>
    <w:rsid w:val="005D74AD"/>
    <w:rsid w:val="006478A6"/>
    <w:rsid w:val="00670025"/>
    <w:rsid w:val="006C4549"/>
    <w:rsid w:val="0071385C"/>
    <w:rsid w:val="0083138A"/>
    <w:rsid w:val="00833017"/>
    <w:rsid w:val="00841E6C"/>
    <w:rsid w:val="00855926"/>
    <w:rsid w:val="00916229"/>
    <w:rsid w:val="009558FA"/>
    <w:rsid w:val="009561E0"/>
    <w:rsid w:val="0098227E"/>
    <w:rsid w:val="009E111A"/>
    <w:rsid w:val="009F5930"/>
    <w:rsid w:val="00AA0881"/>
    <w:rsid w:val="00B1346C"/>
    <w:rsid w:val="00BF767B"/>
    <w:rsid w:val="00C03585"/>
    <w:rsid w:val="00C060AF"/>
    <w:rsid w:val="00C41015"/>
    <w:rsid w:val="00C4182C"/>
    <w:rsid w:val="00C53DE0"/>
    <w:rsid w:val="00C604F6"/>
    <w:rsid w:val="00C8406E"/>
    <w:rsid w:val="00C909D2"/>
    <w:rsid w:val="00CC2CA4"/>
    <w:rsid w:val="00CE13AB"/>
    <w:rsid w:val="00DE31F2"/>
    <w:rsid w:val="00E32864"/>
    <w:rsid w:val="00E925DB"/>
    <w:rsid w:val="00E9454F"/>
    <w:rsid w:val="00F167F8"/>
    <w:rsid w:val="00F26C6A"/>
    <w:rsid w:val="00F70D02"/>
    <w:rsid w:val="00F75616"/>
    <w:rsid w:val="00FA3343"/>
    <w:rsid w:val="00FE0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625A78-ACB9-418B-B45E-0528F0DD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b/>
        <w:snapToGrid w:val="0"/>
        <w:sz w:val="24"/>
        <w:szCs w:val="24"/>
        <w:lang w:val="en-ZA"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83C"/>
    <w:rPr>
      <w:b w:val="0"/>
      <w:snapToGrid/>
      <w:sz w:val="22"/>
      <w:lang w:val="en-GB"/>
    </w:rPr>
  </w:style>
  <w:style w:type="paragraph" w:styleId="Heading1">
    <w:name w:val="heading 1"/>
    <w:basedOn w:val="Normal"/>
    <w:next w:val="Normal"/>
    <w:link w:val="Heading1Char"/>
    <w:qFormat/>
    <w:rsid w:val="0029783C"/>
    <w:pPr>
      <w:numPr>
        <w:numId w:val="21"/>
      </w:numPr>
      <w:spacing w:before="240" w:after="60"/>
      <w:outlineLvl w:val="0"/>
    </w:pPr>
    <w:rPr>
      <w:rFonts w:eastAsia="Times New Roman" w:cs="Arial"/>
      <w:b/>
      <w:bCs/>
      <w:snapToGrid w:val="0"/>
      <w:kern w:val="32"/>
      <w:szCs w:val="32"/>
      <w:lang w:val="en-ZA"/>
    </w:rPr>
  </w:style>
  <w:style w:type="paragraph" w:styleId="Heading2">
    <w:name w:val="heading 2"/>
    <w:basedOn w:val="Normal"/>
    <w:next w:val="Normal"/>
    <w:link w:val="Heading2Char"/>
    <w:qFormat/>
    <w:rsid w:val="0029783C"/>
    <w:pPr>
      <w:numPr>
        <w:ilvl w:val="1"/>
        <w:numId w:val="21"/>
      </w:numPr>
      <w:spacing w:before="240" w:after="60" w:line="480" w:lineRule="auto"/>
      <w:outlineLvl w:val="1"/>
    </w:pPr>
    <w:rPr>
      <w:rFonts w:eastAsia="Times New Roman" w:cs="Arial"/>
      <w:b/>
      <w:bCs/>
      <w:iCs/>
      <w:snapToGrid w:val="0"/>
      <w:szCs w:val="28"/>
      <w:lang w:val="en-ZA"/>
    </w:rPr>
  </w:style>
  <w:style w:type="paragraph" w:styleId="Heading3">
    <w:name w:val="heading 3"/>
    <w:basedOn w:val="Normal"/>
    <w:next w:val="Normal"/>
    <w:link w:val="Heading3Char"/>
    <w:qFormat/>
    <w:rsid w:val="0029783C"/>
    <w:pPr>
      <w:keepNext/>
      <w:numPr>
        <w:ilvl w:val="2"/>
        <w:numId w:val="21"/>
      </w:numPr>
      <w:spacing w:before="240" w:after="60"/>
      <w:outlineLvl w:val="2"/>
    </w:pPr>
    <w:rPr>
      <w:rFonts w:eastAsia="Times New Roman" w:cs="Arial"/>
      <w:b/>
      <w:bCs/>
      <w:snapToGrid w:val="0"/>
      <w:szCs w:val="26"/>
      <w:lang w:val="en-ZA"/>
    </w:rPr>
  </w:style>
  <w:style w:type="paragraph" w:styleId="Heading4">
    <w:name w:val="heading 4"/>
    <w:basedOn w:val="Normal"/>
    <w:next w:val="Normal"/>
    <w:link w:val="Heading4Char"/>
    <w:qFormat/>
    <w:rsid w:val="0029783C"/>
    <w:pPr>
      <w:keepNext/>
      <w:numPr>
        <w:ilvl w:val="3"/>
        <w:numId w:val="21"/>
      </w:numPr>
      <w:spacing w:before="240" w:after="60"/>
      <w:outlineLvl w:val="3"/>
    </w:pPr>
    <w:rPr>
      <w:rFonts w:eastAsia="Times New Roman" w:cs="Arial"/>
      <w:b/>
      <w:bCs/>
      <w:snapToGrid w:val="0"/>
      <w:szCs w:val="28"/>
      <w:lang w:val="en-ZA"/>
    </w:rPr>
  </w:style>
  <w:style w:type="paragraph" w:styleId="Heading5">
    <w:name w:val="heading 5"/>
    <w:basedOn w:val="Normal"/>
    <w:next w:val="Normal"/>
    <w:link w:val="Heading5Char"/>
    <w:qFormat/>
    <w:rsid w:val="0029783C"/>
    <w:pPr>
      <w:numPr>
        <w:ilvl w:val="4"/>
        <w:numId w:val="21"/>
      </w:numPr>
      <w:spacing w:before="240" w:after="60"/>
      <w:outlineLvl w:val="4"/>
    </w:pPr>
    <w:rPr>
      <w:rFonts w:ascii="Arial" w:hAnsi="Arial"/>
      <w:i/>
      <w:sz w:val="26"/>
      <w:szCs w:val="26"/>
    </w:rPr>
  </w:style>
  <w:style w:type="paragraph" w:styleId="Heading6">
    <w:name w:val="heading 6"/>
    <w:basedOn w:val="Normal"/>
    <w:next w:val="Normal"/>
    <w:link w:val="Heading6Char"/>
    <w:qFormat/>
    <w:rsid w:val="0029783C"/>
    <w:pPr>
      <w:numPr>
        <w:ilvl w:val="5"/>
        <w:numId w:val="21"/>
      </w:numPr>
      <w:spacing w:before="240" w:after="60"/>
      <w:outlineLvl w:val="5"/>
    </w:pPr>
    <w:rPr>
      <w:rFonts w:ascii="Arial" w:hAnsi="Arial"/>
      <w:szCs w:val="22"/>
    </w:rPr>
  </w:style>
  <w:style w:type="paragraph" w:styleId="Heading7">
    <w:name w:val="heading 7"/>
    <w:basedOn w:val="Normal"/>
    <w:next w:val="Normal"/>
    <w:link w:val="Heading7Char"/>
    <w:qFormat/>
    <w:rsid w:val="0029783C"/>
    <w:pPr>
      <w:numPr>
        <w:ilvl w:val="6"/>
        <w:numId w:val="21"/>
      </w:numPr>
      <w:spacing w:before="240" w:after="60"/>
      <w:outlineLvl w:val="6"/>
    </w:pPr>
    <w:rPr>
      <w:rFonts w:ascii="Arial" w:hAnsi="Arial"/>
      <w:sz w:val="28"/>
    </w:rPr>
  </w:style>
  <w:style w:type="paragraph" w:styleId="Heading8">
    <w:name w:val="heading 8"/>
    <w:basedOn w:val="Normal"/>
    <w:next w:val="Normal"/>
    <w:link w:val="Heading8Char"/>
    <w:qFormat/>
    <w:rsid w:val="0029783C"/>
    <w:pPr>
      <w:numPr>
        <w:ilvl w:val="7"/>
        <w:numId w:val="21"/>
      </w:numPr>
      <w:spacing w:before="240" w:after="60"/>
      <w:outlineLvl w:val="7"/>
    </w:pPr>
    <w:rPr>
      <w:rFonts w:ascii="Arial" w:hAnsi="Arial"/>
      <w:i/>
      <w:sz w:val="28"/>
    </w:rPr>
  </w:style>
  <w:style w:type="paragraph" w:styleId="Heading9">
    <w:name w:val="heading 9"/>
    <w:basedOn w:val="Normal"/>
    <w:next w:val="Normal"/>
    <w:link w:val="Heading9Char"/>
    <w:qFormat/>
    <w:rsid w:val="0029783C"/>
    <w:pPr>
      <w:numPr>
        <w:ilvl w:val="8"/>
        <w:numId w:val="21"/>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terh1">
    <w:name w:val="Peter h1"/>
    <w:basedOn w:val="Heading1"/>
    <w:link w:val="Peterh1Char"/>
    <w:autoRedefine/>
    <w:rsid w:val="00916229"/>
    <w:pPr>
      <w:spacing w:before="120"/>
    </w:pPr>
    <w:rPr>
      <w:sz w:val="28"/>
    </w:rPr>
  </w:style>
  <w:style w:type="character" w:customStyle="1" w:styleId="Peterh1Char">
    <w:name w:val="Peter h1 Char"/>
    <w:basedOn w:val="Heading1Char"/>
    <w:link w:val="Peterh1"/>
    <w:rsid w:val="00916229"/>
    <w:rPr>
      <w:rFonts w:asciiTheme="majorHAnsi" w:eastAsiaTheme="majorEastAsia" w:hAnsiTheme="majorHAnsi" w:cstheme="majorBidi"/>
      <w:b/>
      <w:bCs/>
      <w:color w:val="2E74B5" w:themeColor="accent1" w:themeShade="BF"/>
      <w:kern w:val="32"/>
      <w:sz w:val="28"/>
      <w:szCs w:val="32"/>
    </w:rPr>
  </w:style>
  <w:style w:type="character" w:customStyle="1" w:styleId="Heading1Char">
    <w:name w:val="Heading 1 Char"/>
    <w:basedOn w:val="DefaultParagraphFont"/>
    <w:link w:val="Heading1"/>
    <w:rsid w:val="0029783C"/>
    <w:rPr>
      <w:rFonts w:eastAsia="Times New Roman" w:cs="Arial"/>
      <w:bCs/>
      <w:kern w:val="32"/>
      <w:sz w:val="22"/>
      <w:szCs w:val="32"/>
    </w:rPr>
  </w:style>
  <w:style w:type="paragraph" w:customStyle="1" w:styleId="Peternumbered">
    <w:name w:val="Peter numbered"/>
    <w:basedOn w:val="TOCHeading"/>
    <w:qFormat/>
    <w:rsid w:val="0071385C"/>
  </w:style>
  <w:style w:type="paragraph" w:styleId="TOCHeading">
    <w:name w:val="TOC Heading"/>
    <w:basedOn w:val="Heading1"/>
    <w:next w:val="Normal"/>
    <w:uiPriority w:val="39"/>
    <w:semiHidden/>
    <w:unhideWhenUsed/>
    <w:qFormat/>
    <w:rsid w:val="0071385C"/>
    <w:pPr>
      <w:keepNext/>
      <w:keepLines/>
      <w:numPr>
        <w:numId w:val="0"/>
      </w:numPr>
      <w:spacing w:before="480" w:after="0" w:line="276" w:lineRule="auto"/>
      <w:outlineLvl w:val="9"/>
    </w:pPr>
    <w:rPr>
      <w:rFonts w:ascii="Cambria" w:hAnsi="Cambria"/>
      <w:color w:val="365F91"/>
      <w:kern w:val="0"/>
      <w:sz w:val="28"/>
      <w:szCs w:val="28"/>
    </w:rPr>
  </w:style>
  <w:style w:type="character" w:customStyle="1" w:styleId="Heading2Char">
    <w:name w:val="Heading 2 Char"/>
    <w:basedOn w:val="DefaultParagraphFont"/>
    <w:link w:val="Heading2"/>
    <w:rsid w:val="0029783C"/>
    <w:rPr>
      <w:rFonts w:eastAsia="Times New Roman" w:cs="Arial"/>
      <w:bCs/>
      <w:iCs/>
      <w:sz w:val="22"/>
      <w:szCs w:val="28"/>
    </w:rPr>
  </w:style>
  <w:style w:type="character" w:customStyle="1" w:styleId="Heading3Char">
    <w:name w:val="Heading 3 Char"/>
    <w:basedOn w:val="DefaultParagraphFont"/>
    <w:link w:val="Heading3"/>
    <w:rsid w:val="0029783C"/>
    <w:rPr>
      <w:rFonts w:eastAsia="Times New Roman" w:cs="Arial"/>
      <w:bCs/>
      <w:sz w:val="22"/>
      <w:szCs w:val="26"/>
    </w:rPr>
  </w:style>
  <w:style w:type="character" w:customStyle="1" w:styleId="Heading4Char">
    <w:name w:val="Heading 4 Char"/>
    <w:basedOn w:val="DefaultParagraphFont"/>
    <w:link w:val="Heading4"/>
    <w:rsid w:val="0029783C"/>
    <w:rPr>
      <w:rFonts w:ascii="Calibri" w:eastAsia="Times New Roman" w:hAnsi="Calibri" w:cs="Arial"/>
      <w:b/>
      <w:bCs/>
      <w:sz w:val="22"/>
      <w:szCs w:val="28"/>
      <w:lang w:val="en-ZA"/>
    </w:rPr>
  </w:style>
  <w:style w:type="character" w:customStyle="1" w:styleId="Heading5Char">
    <w:name w:val="Heading 5 Char"/>
    <w:basedOn w:val="DefaultParagraphFont"/>
    <w:link w:val="Heading5"/>
    <w:rsid w:val="0071385C"/>
    <w:rPr>
      <w:rFonts w:ascii="Arial" w:hAnsi="Arial" w:cstheme="minorBidi"/>
      <w:b w:val="0"/>
      <w:i/>
      <w:snapToGrid/>
      <w:sz w:val="26"/>
      <w:szCs w:val="26"/>
      <w:lang w:val="en-GB"/>
    </w:rPr>
  </w:style>
  <w:style w:type="character" w:customStyle="1" w:styleId="Heading6Char">
    <w:name w:val="Heading 6 Char"/>
    <w:basedOn w:val="DefaultParagraphFont"/>
    <w:link w:val="Heading6"/>
    <w:rsid w:val="0071385C"/>
    <w:rPr>
      <w:rFonts w:ascii="Arial" w:hAnsi="Arial" w:cstheme="minorBidi"/>
      <w:b w:val="0"/>
      <w:snapToGrid/>
      <w:sz w:val="22"/>
      <w:szCs w:val="22"/>
      <w:lang w:val="en-GB"/>
    </w:rPr>
  </w:style>
  <w:style w:type="character" w:customStyle="1" w:styleId="Heading7Char">
    <w:name w:val="Heading 7 Char"/>
    <w:basedOn w:val="DefaultParagraphFont"/>
    <w:link w:val="Heading7"/>
    <w:rsid w:val="0071385C"/>
    <w:rPr>
      <w:rFonts w:ascii="Arial" w:hAnsi="Arial" w:cstheme="minorBidi"/>
      <w:b w:val="0"/>
      <w:snapToGrid/>
      <w:sz w:val="28"/>
      <w:lang w:val="en-GB"/>
    </w:rPr>
  </w:style>
  <w:style w:type="character" w:customStyle="1" w:styleId="Heading8Char">
    <w:name w:val="Heading 8 Char"/>
    <w:basedOn w:val="DefaultParagraphFont"/>
    <w:link w:val="Heading8"/>
    <w:rsid w:val="0071385C"/>
    <w:rPr>
      <w:rFonts w:ascii="Arial" w:hAnsi="Arial" w:cstheme="minorBidi"/>
      <w:b w:val="0"/>
      <w:i/>
      <w:snapToGrid/>
      <w:sz w:val="28"/>
      <w:lang w:val="en-GB"/>
    </w:rPr>
  </w:style>
  <w:style w:type="character" w:customStyle="1" w:styleId="Heading9Char">
    <w:name w:val="Heading 9 Char"/>
    <w:basedOn w:val="DefaultParagraphFont"/>
    <w:link w:val="Heading9"/>
    <w:rsid w:val="0071385C"/>
    <w:rPr>
      <w:rFonts w:ascii="Arial" w:hAnsi="Arial" w:cstheme="minorBidi"/>
      <w:b w:val="0"/>
      <w:snapToGrid/>
      <w:sz w:val="22"/>
      <w:szCs w:val="22"/>
      <w:lang w:val="en-GB"/>
    </w:rPr>
  </w:style>
  <w:style w:type="paragraph" w:styleId="TOC1">
    <w:name w:val="toc 1"/>
    <w:basedOn w:val="Normal"/>
    <w:next w:val="Normal"/>
    <w:autoRedefine/>
    <w:uiPriority w:val="39"/>
    <w:unhideWhenUsed/>
    <w:rsid w:val="00F167F8"/>
    <w:pPr>
      <w:spacing w:after="100"/>
    </w:pPr>
    <w:rPr>
      <w:iCs/>
    </w:rPr>
  </w:style>
  <w:style w:type="paragraph" w:styleId="BalloonText">
    <w:name w:val="Balloon Text"/>
    <w:basedOn w:val="Normal"/>
    <w:link w:val="BalloonTextChar"/>
    <w:uiPriority w:val="99"/>
    <w:semiHidden/>
    <w:unhideWhenUsed/>
    <w:rsid w:val="00392C73"/>
    <w:rPr>
      <w:rFonts w:ascii="Tahoma" w:hAnsi="Tahoma" w:cs="Tahoma"/>
      <w:sz w:val="16"/>
      <w:szCs w:val="16"/>
    </w:rPr>
  </w:style>
  <w:style w:type="character" w:customStyle="1" w:styleId="BalloonTextChar">
    <w:name w:val="Balloon Text Char"/>
    <w:basedOn w:val="DefaultParagraphFont"/>
    <w:link w:val="BalloonText"/>
    <w:uiPriority w:val="99"/>
    <w:semiHidden/>
    <w:rsid w:val="00392C73"/>
    <w:rPr>
      <w:rFonts w:ascii="Tahoma" w:hAnsi="Tahoma" w:cs="Tahoma"/>
      <w:b w:val="0"/>
      <w:snapToGrid/>
      <w:sz w:val="16"/>
      <w:szCs w:val="16"/>
      <w:lang w:val="en-GB"/>
    </w:rPr>
  </w:style>
  <w:style w:type="character" w:styleId="Hyperlink">
    <w:name w:val="Hyperlink"/>
    <w:basedOn w:val="DefaultParagraphFont"/>
    <w:uiPriority w:val="99"/>
    <w:unhideWhenUsed/>
    <w:rsid w:val="006478A6"/>
    <w:rPr>
      <w:color w:val="0563C1" w:themeColor="hyperlink"/>
      <w:u w:val="single"/>
    </w:rPr>
  </w:style>
  <w:style w:type="paragraph" w:styleId="ListParagraph">
    <w:name w:val="List Paragraph"/>
    <w:basedOn w:val="Normal"/>
    <w:uiPriority w:val="34"/>
    <w:qFormat/>
    <w:rsid w:val="00E9454F"/>
    <w:pPr>
      <w:ind w:left="720"/>
      <w:contextualSpacing/>
    </w:pPr>
  </w:style>
  <w:style w:type="paragraph" w:styleId="Header">
    <w:name w:val="header"/>
    <w:basedOn w:val="Normal"/>
    <w:link w:val="HeaderChar"/>
    <w:uiPriority w:val="99"/>
    <w:unhideWhenUsed/>
    <w:rsid w:val="002C5A54"/>
    <w:pPr>
      <w:tabs>
        <w:tab w:val="center" w:pos="4680"/>
        <w:tab w:val="right" w:pos="9360"/>
      </w:tabs>
    </w:pPr>
  </w:style>
  <w:style w:type="character" w:customStyle="1" w:styleId="HeaderChar">
    <w:name w:val="Header Char"/>
    <w:basedOn w:val="DefaultParagraphFont"/>
    <w:link w:val="Header"/>
    <w:uiPriority w:val="99"/>
    <w:rsid w:val="002C5A54"/>
    <w:rPr>
      <w:b w:val="0"/>
      <w:snapToGrid/>
      <w:sz w:val="22"/>
      <w:lang w:val="en-GB"/>
    </w:rPr>
  </w:style>
  <w:style w:type="paragraph" w:styleId="Footer">
    <w:name w:val="footer"/>
    <w:basedOn w:val="Normal"/>
    <w:link w:val="FooterChar"/>
    <w:uiPriority w:val="99"/>
    <w:unhideWhenUsed/>
    <w:rsid w:val="002C5A54"/>
    <w:pPr>
      <w:tabs>
        <w:tab w:val="center" w:pos="4680"/>
        <w:tab w:val="right" w:pos="9360"/>
      </w:tabs>
    </w:pPr>
  </w:style>
  <w:style w:type="character" w:customStyle="1" w:styleId="FooterChar">
    <w:name w:val="Footer Char"/>
    <w:basedOn w:val="DefaultParagraphFont"/>
    <w:link w:val="Footer"/>
    <w:uiPriority w:val="99"/>
    <w:rsid w:val="002C5A54"/>
    <w:rPr>
      <w:b w:val="0"/>
      <w:snapToGrid/>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co.org.uk" TargetMode="Externa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772</Words>
  <Characters>4404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Generic draft contract wording to be used for acquiring personal information from commercial suppliers in compliance with the POPI Act</vt:lpstr>
    </vt:vector>
  </TitlesOfParts>
  <Company/>
  <LinksUpToDate>false</LinksUpToDate>
  <CharactersWithSpaces>5166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draft contract wording to be used for acquiring personal information from commercial suppliers in compliance with the POPI Act</dc:title>
  <dc:subject>Generic draft contract wording to be used for acquiring personal information from commercial suppliers in compliance with the POPI Act</dc:subject>
  <dc:creator>Dr Peter Tobin, CGEIT, PMIITPSA, PMP</dc:creator>
  <cp:lastModifiedBy>Peter Tobin</cp:lastModifiedBy>
  <cp:revision>9</cp:revision>
  <cp:lastPrinted>2015-11-02T07:03:00Z</cp:lastPrinted>
  <dcterms:created xsi:type="dcterms:W3CDTF">2015-11-02T07:00:00Z</dcterms:created>
  <dcterms:modified xsi:type="dcterms:W3CDTF">2018-10-08T06:51:00Z</dcterms:modified>
</cp:coreProperties>
</file>