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448"/>
        <w:gridCol w:w="6568"/>
      </w:tblGrid>
      <w:tr w:rsidR="0094686F" w:rsidRPr="0059032A" w:rsidTr="00FA0D87">
        <w:tc>
          <w:tcPr>
            <w:tcW w:w="9016" w:type="dxa"/>
            <w:gridSpan w:val="2"/>
          </w:tcPr>
          <w:p w:rsidR="0059032A" w:rsidRPr="0059032A" w:rsidRDefault="0059032A" w:rsidP="0094686F">
            <w:pPr>
              <w:jc w:val="center"/>
            </w:pPr>
            <w:r w:rsidRPr="0059032A">
              <w:t>[company name]</w:t>
            </w:r>
          </w:p>
          <w:p w:rsidR="0094686F" w:rsidRPr="0059032A" w:rsidRDefault="0094686F" w:rsidP="0094686F">
            <w:pPr>
              <w:jc w:val="center"/>
            </w:pPr>
            <w:r w:rsidRPr="0059032A">
              <w:t>Information Security Policy</w:t>
            </w:r>
          </w:p>
          <w:p w:rsidR="0094686F" w:rsidRPr="0059032A" w:rsidRDefault="0094686F" w:rsidP="0094686F">
            <w:pPr>
              <w:jc w:val="center"/>
            </w:pP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Organisation</w:t>
            </w:r>
          </w:p>
        </w:tc>
        <w:tc>
          <w:tcPr>
            <w:tcW w:w="6568" w:type="dxa"/>
            <w:vAlign w:val="center"/>
          </w:tcPr>
          <w:p w:rsidR="0094686F" w:rsidRPr="0059032A" w:rsidRDefault="009C4CBD" w:rsidP="0094686F">
            <w:pPr>
              <w:widowControl w:val="0"/>
            </w:pPr>
            <w:r w:rsidRPr="0059032A">
              <w:t>[company name]</w:t>
            </w:r>
          </w:p>
        </w:tc>
      </w:tr>
      <w:tr w:rsidR="0094686F" w:rsidRPr="0059032A" w:rsidTr="00707362">
        <w:trPr>
          <w:trHeight w:val="908"/>
        </w:trPr>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Scope of policy</w:t>
            </w:r>
          </w:p>
        </w:tc>
        <w:tc>
          <w:tcPr>
            <w:tcW w:w="6568" w:type="dxa"/>
            <w:vAlign w:val="center"/>
          </w:tcPr>
          <w:p w:rsidR="0094686F" w:rsidRPr="0059032A" w:rsidRDefault="0094686F" w:rsidP="00707362">
            <w:pPr>
              <w:widowControl w:val="0"/>
            </w:pPr>
            <w:r w:rsidRPr="0059032A">
              <w:t xml:space="preserve">This policy applies to the business of </w:t>
            </w:r>
            <w:r w:rsidR="009C4CBD" w:rsidRPr="0059032A">
              <w:t>[company name]</w:t>
            </w:r>
            <w:r w:rsidRPr="0059032A">
              <w:t xml:space="preserve"> wherever it is conducted, but based at the registered office.</w:t>
            </w:r>
            <w:r w:rsidR="00707362">
              <w:t xml:space="preserve">  </w:t>
            </w:r>
            <w:r w:rsidRPr="0059032A">
              <w:t>It applies to paid staff.</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Policy operational date</w:t>
            </w:r>
          </w:p>
        </w:tc>
        <w:tc>
          <w:tcPr>
            <w:tcW w:w="6568" w:type="dxa"/>
            <w:vAlign w:val="center"/>
          </w:tcPr>
          <w:p w:rsidR="0094686F" w:rsidRPr="0059032A" w:rsidRDefault="0094686F" w:rsidP="0094686F">
            <w:pPr>
              <w:widowControl w:val="0"/>
            </w:pPr>
            <w:r w:rsidRPr="0059032A">
              <w:t>X</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Policy prepared by</w:t>
            </w:r>
          </w:p>
        </w:tc>
        <w:tc>
          <w:tcPr>
            <w:tcW w:w="6568" w:type="dxa"/>
            <w:vAlign w:val="center"/>
          </w:tcPr>
          <w:p w:rsidR="0094686F" w:rsidRPr="0059032A" w:rsidRDefault="0094686F" w:rsidP="0094686F">
            <w:pPr>
              <w:widowControl w:val="0"/>
            </w:pPr>
            <w:r w:rsidRPr="0059032A">
              <w:t>X</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Date approved by Information Officer</w:t>
            </w:r>
          </w:p>
        </w:tc>
        <w:tc>
          <w:tcPr>
            <w:tcW w:w="6568" w:type="dxa"/>
            <w:vAlign w:val="center"/>
          </w:tcPr>
          <w:p w:rsidR="0094686F" w:rsidRPr="0059032A" w:rsidRDefault="0094686F" w:rsidP="0094686F">
            <w:pPr>
              <w:widowControl w:val="0"/>
            </w:pPr>
            <w:r w:rsidRPr="0059032A">
              <w:t>X</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Policy review date</w:t>
            </w:r>
          </w:p>
        </w:tc>
        <w:tc>
          <w:tcPr>
            <w:tcW w:w="6568" w:type="dxa"/>
            <w:vAlign w:val="center"/>
          </w:tcPr>
          <w:p w:rsidR="0094686F" w:rsidRPr="0059032A" w:rsidRDefault="0094686F" w:rsidP="0094686F">
            <w:pPr>
              <w:widowControl w:val="0"/>
            </w:pPr>
            <w:r w:rsidRPr="0059032A">
              <w:t>X</w:t>
            </w:r>
          </w:p>
        </w:tc>
      </w:tr>
      <w:tr w:rsidR="0094686F" w:rsidRPr="0059032A" w:rsidTr="0059032A">
        <w:tc>
          <w:tcPr>
            <w:tcW w:w="2448" w:type="dxa"/>
            <w:vAlign w:val="center"/>
          </w:tcPr>
          <w:p w:rsidR="00707362"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Introduction</w:t>
            </w:r>
            <w:r w:rsidR="00707362" w:rsidRPr="0059032A">
              <w:rPr>
                <w:rFonts w:asciiTheme="minorHAnsi" w:hAnsiTheme="minorHAnsi"/>
                <w:sz w:val="22"/>
                <w:szCs w:val="22"/>
              </w:rPr>
              <w:t xml:space="preserve"> </w:t>
            </w:r>
          </w:p>
          <w:p w:rsidR="0094686F" w:rsidRPr="0059032A" w:rsidRDefault="00707362"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Purpose of policy</w:t>
            </w:r>
          </w:p>
        </w:tc>
        <w:tc>
          <w:tcPr>
            <w:tcW w:w="6568" w:type="dxa"/>
            <w:vAlign w:val="center"/>
          </w:tcPr>
          <w:p w:rsidR="00707362" w:rsidRDefault="00707362" w:rsidP="00707362">
            <w:pPr>
              <w:widowControl w:val="0"/>
            </w:pPr>
            <w:r w:rsidRPr="0059032A">
              <w:t>The purpose of this policy is to enable [company name] to:</w:t>
            </w:r>
          </w:p>
          <w:p w:rsidR="00BB0149" w:rsidRDefault="00BB0149" w:rsidP="00707362">
            <w:pPr>
              <w:widowControl w:val="0"/>
            </w:pPr>
          </w:p>
          <w:p w:rsidR="00BB0149" w:rsidRPr="0059032A" w:rsidRDefault="00BB0149" w:rsidP="00BB0149">
            <w:pPr>
              <w:pStyle w:val="ListParagraph"/>
              <w:widowControl w:val="0"/>
              <w:numPr>
                <w:ilvl w:val="0"/>
                <w:numId w:val="3"/>
              </w:numPr>
            </w:pPr>
            <w:r w:rsidRPr="0059032A">
              <w:t>Provide a framework for the management of information security;</w:t>
            </w:r>
          </w:p>
          <w:p w:rsidR="00BB0149" w:rsidRPr="0059032A" w:rsidRDefault="00BB0149" w:rsidP="00BB0149">
            <w:pPr>
              <w:pStyle w:val="ListParagraph"/>
              <w:widowControl w:val="0"/>
              <w:numPr>
                <w:ilvl w:val="0"/>
                <w:numId w:val="3"/>
              </w:numPr>
            </w:pPr>
            <w:r w:rsidRPr="0059032A">
              <w:t>Promote awareness of the importance of protecting [company name]’s information;</w:t>
            </w:r>
          </w:p>
          <w:p w:rsidR="00BB0149" w:rsidRPr="0059032A" w:rsidRDefault="00BB0149" w:rsidP="00BB0149">
            <w:pPr>
              <w:pStyle w:val="ListParagraph"/>
              <w:widowControl w:val="0"/>
              <w:numPr>
                <w:ilvl w:val="0"/>
                <w:numId w:val="3"/>
              </w:numPr>
            </w:pPr>
            <w:r w:rsidRPr="0059032A">
              <w:t>Identify information related risks;</w:t>
            </w:r>
          </w:p>
          <w:p w:rsidR="00BB0149" w:rsidRPr="0059032A" w:rsidRDefault="00BB0149" w:rsidP="00BB0149">
            <w:pPr>
              <w:pStyle w:val="ListParagraph"/>
              <w:widowControl w:val="0"/>
              <w:numPr>
                <w:ilvl w:val="0"/>
                <w:numId w:val="3"/>
              </w:numPr>
            </w:pPr>
            <w:r w:rsidRPr="0059032A">
              <w:t>Identify and report on unauthorised  information access leakages or attempts to obtain information through unauthorised means;</w:t>
            </w:r>
          </w:p>
          <w:p w:rsidR="00BB0149" w:rsidRPr="0059032A" w:rsidRDefault="00BB0149" w:rsidP="00BB0149">
            <w:pPr>
              <w:pStyle w:val="ListParagraph"/>
              <w:widowControl w:val="0"/>
              <w:numPr>
                <w:ilvl w:val="0"/>
                <w:numId w:val="3"/>
              </w:numPr>
            </w:pPr>
            <w:r w:rsidRPr="0059032A">
              <w:t>Follow good practice for information security.</w:t>
            </w:r>
          </w:p>
          <w:p w:rsidR="0094686F" w:rsidRPr="0059032A" w:rsidRDefault="00BB0149" w:rsidP="00BB0149">
            <w:pPr>
              <w:pStyle w:val="ListParagraph"/>
              <w:widowControl w:val="0"/>
              <w:numPr>
                <w:ilvl w:val="0"/>
                <w:numId w:val="3"/>
              </w:numPr>
              <w:spacing w:after="160" w:line="259" w:lineRule="auto"/>
            </w:pPr>
            <w:r w:rsidRPr="0059032A">
              <w:t>Comply with the relevant provisions of the POPI Act 4 of 2013, in particular Condition 7, sections 19 to 22.</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Objective</w:t>
            </w:r>
          </w:p>
        </w:tc>
        <w:tc>
          <w:tcPr>
            <w:tcW w:w="6568" w:type="dxa"/>
            <w:vAlign w:val="center"/>
          </w:tcPr>
          <w:p w:rsidR="0094686F" w:rsidRPr="0059032A" w:rsidRDefault="0094686F" w:rsidP="0085213E">
            <w:pPr>
              <w:widowControl w:val="0"/>
            </w:pPr>
            <w:r w:rsidRPr="0059032A">
              <w:t>The overall objective of the</w:t>
            </w:r>
            <w:r w:rsidR="0085213E" w:rsidRPr="0059032A">
              <w:t xml:space="preserve"> </w:t>
            </w:r>
            <w:r w:rsidR="0059032A" w:rsidRPr="0059032A">
              <w:t>[company name]</w:t>
            </w:r>
            <w:r w:rsidRPr="0059032A">
              <w:t xml:space="preserve"> Information Security Policy is to ensure that safeguards for the protection of the Integrity, Availability and Confidentiality of Information Assets are established.</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 xml:space="preserve">Secure environment </w:t>
            </w:r>
          </w:p>
        </w:tc>
        <w:tc>
          <w:tcPr>
            <w:tcW w:w="6568" w:type="dxa"/>
            <w:vAlign w:val="center"/>
          </w:tcPr>
          <w:p w:rsidR="0094686F" w:rsidRPr="0059032A" w:rsidRDefault="0094686F" w:rsidP="0094686F">
            <w:pPr>
              <w:widowControl w:val="0"/>
            </w:pPr>
            <w:r w:rsidRPr="0059032A">
              <w:t>A secure environment is based on managing risk at an appropriate level. The security controls applied to an Information Asset should be commensurate with the magnitude of harm that would result from the loss, misuse, inability to access, unauthorised access to, or modification of the information in a system.</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Information covered</w:t>
            </w:r>
          </w:p>
        </w:tc>
        <w:tc>
          <w:tcPr>
            <w:tcW w:w="6568" w:type="dxa"/>
            <w:vAlign w:val="center"/>
          </w:tcPr>
          <w:p w:rsidR="0094686F" w:rsidRPr="0059032A" w:rsidRDefault="0094686F" w:rsidP="00FA0D87">
            <w:pPr>
              <w:rPr>
                <w:rFonts w:cs="Arial"/>
                <w:lang w:val="en-GB"/>
              </w:rPr>
            </w:pPr>
            <w:r w:rsidRPr="0059032A">
              <w:t xml:space="preserve">Although the protection of automated information resources is emphasised, protection requirements will cover all Information Assets, including, but not limited to, physical, personnel, computers, networks, telecommunications systems, applications, data, faxes, paper repositories and any other media used to store or process information. </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Information Classification</w:t>
            </w:r>
          </w:p>
        </w:tc>
        <w:tc>
          <w:tcPr>
            <w:tcW w:w="6568" w:type="dxa"/>
            <w:vAlign w:val="center"/>
          </w:tcPr>
          <w:p w:rsidR="0094686F" w:rsidRPr="0059032A" w:rsidRDefault="0094686F" w:rsidP="0094686F">
            <w:pPr>
              <w:pStyle w:val="bullet"/>
              <w:numPr>
                <w:ilvl w:val="0"/>
                <w:numId w:val="0"/>
              </w:numPr>
              <w:jc w:val="both"/>
              <w:rPr>
                <w:rFonts w:asciiTheme="minorHAnsi" w:hAnsiTheme="minorHAnsi"/>
                <w:sz w:val="22"/>
                <w:szCs w:val="22"/>
              </w:rPr>
            </w:pPr>
            <w:r w:rsidRPr="0059032A">
              <w:rPr>
                <w:rFonts w:asciiTheme="minorHAnsi" w:hAnsiTheme="minorHAnsi" w:cs="Arial"/>
                <w:sz w:val="22"/>
                <w:szCs w:val="22"/>
                <w:lang w:val="en-GB"/>
              </w:rPr>
              <w:t>Information assets have varying degrees of sensitivity and criticality and some items may require an additional level of protection or special handling. A clearly defined Information Classification System will be used to define an appropriate set of protection levels, and communicate the need for special handling measures.</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lastRenderedPageBreak/>
              <w:t>Policy Statement</w:t>
            </w:r>
          </w:p>
        </w:tc>
        <w:tc>
          <w:tcPr>
            <w:tcW w:w="6568" w:type="dxa"/>
            <w:vAlign w:val="center"/>
          </w:tcPr>
          <w:p w:rsidR="0094686F" w:rsidRPr="0059032A" w:rsidRDefault="009C4CBD" w:rsidP="0094686F">
            <w:pPr>
              <w:widowControl w:val="0"/>
            </w:pPr>
            <w:r w:rsidRPr="0059032A">
              <w:t>[company name]</w:t>
            </w:r>
            <w:r w:rsidR="0094686F" w:rsidRPr="0059032A">
              <w:t xml:space="preserve"> will:</w:t>
            </w:r>
          </w:p>
          <w:p w:rsidR="0094686F" w:rsidRPr="0059032A" w:rsidRDefault="0094686F" w:rsidP="0094686F">
            <w:pPr>
              <w:widowControl w:val="0"/>
            </w:pPr>
          </w:p>
          <w:p w:rsidR="0094686F" w:rsidRPr="0059032A" w:rsidRDefault="0094686F" w:rsidP="0094686F">
            <w:pPr>
              <w:pStyle w:val="ListParagraph"/>
              <w:numPr>
                <w:ilvl w:val="0"/>
                <w:numId w:val="4"/>
              </w:numPr>
              <w:jc w:val="both"/>
            </w:pPr>
            <w:r w:rsidRPr="0059032A">
              <w:t>Ensure that adequate Information Security Policies are implemented to enforce compliance to the accepted Information Security standard;</w:t>
            </w:r>
          </w:p>
          <w:p w:rsidR="0094686F" w:rsidRPr="0059032A" w:rsidRDefault="0094686F" w:rsidP="0094686F">
            <w:pPr>
              <w:pStyle w:val="ListParagraph"/>
              <w:numPr>
                <w:ilvl w:val="0"/>
                <w:numId w:val="4"/>
              </w:numPr>
              <w:jc w:val="both"/>
            </w:pPr>
            <w:r w:rsidRPr="0059032A">
              <w:t>Ensure that information assets have a nominated owner to ensure the accountability of systems, equipment and information at all times;</w:t>
            </w:r>
          </w:p>
          <w:p w:rsidR="0094686F" w:rsidRPr="0059032A" w:rsidRDefault="0094686F" w:rsidP="0094686F">
            <w:pPr>
              <w:pStyle w:val="ListParagraph"/>
              <w:numPr>
                <w:ilvl w:val="0"/>
                <w:numId w:val="4"/>
              </w:numPr>
              <w:jc w:val="both"/>
            </w:pPr>
            <w:r w:rsidRPr="0059032A">
              <w:t>Ensure that Identification and Authentication measures for access to information systems are implemented and maintained;</w:t>
            </w:r>
          </w:p>
          <w:p w:rsidR="0094686F" w:rsidRPr="0059032A" w:rsidRDefault="0094686F" w:rsidP="0094686F">
            <w:pPr>
              <w:pStyle w:val="ListParagraph"/>
              <w:numPr>
                <w:ilvl w:val="0"/>
                <w:numId w:val="4"/>
              </w:numPr>
              <w:jc w:val="both"/>
            </w:pPr>
            <w:r w:rsidRPr="0059032A">
              <w:t>Ensure that responsibilities and procedures for the secure management and operation of information processing facilities will be established to prohibit unauthorised access, disclosure, duplication, modification, destruction, loss, misuse, or theft of information.</w:t>
            </w:r>
          </w:p>
          <w:p w:rsidR="0094686F" w:rsidRPr="0059032A" w:rsidRDefault="0094686F" w:rsidP="0085213E">
            <w:pPr>
              <w:pStyle w:val="ListParagraph"/>
              <w:numPr>
                <w:ilvl w:val="0"/>
                <w:numId w:val="4"/>
              </w:numPr>
              <w:jc w:val="both"/>
            </w:pPr>
            <w:r w:rsidRPr="0059032A">
              <w:t xml:space="preserve">Develop a </w:t>
            </w:r>
            <w:r w:rsidR="0085213E" w:rsidRPr="0059032A">
              <w:t>Business Continuity</w:t>
            </w:r>
            <w:r w:rsidRPr="0059032A">
              <w:t xml:space="preserve"> plan to reduce the disruption caused by disasters and security failures in order to allow critical systems to continue in the event that critical facilities and resources are not available.</w:t>
            </w:r>
          </w:p>
        </w:tc>
      </w:tr>
      <w:tr w:rsidR="002F38AA" w:rsidRPr="0059032A" w:rsidTr="0059032A">
        <w:tc>
          <w:tcPr>
            <w:tcW w:w="2448" w:type="dxa"/>
            <w:vAlign w:val="center"/>
          </w:tcPr>
          <w:p w:rsidR="002F38AA" w:rsidRPr="0059032A" w:rsidRDefault="002F38AA"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Personal Information Security Measures</w:t>
            </w:r>
          </w:p>
        </w:tc>
        <w:tc>
          <w:tcPr>
            <w:tcW w:w="6568" w:type="dxa"/>
            <w:vAlign w:val="center"/>
          </w:tcPr>
          <w:p w:rsidR="00E546B9" w:rsidRPr="0059032A" w:rsidRDefault="00E9645E" w:rsidP="00E546B9">
            <w:pPr>
              <w:pStyle w:val="ListParagraph"/>
              <w:widowControl w:val="0"/>
              <w:numPr>
                <w:ilvl w:val="0"/>
                <w:numId w:val="7"/>
              </w:numPr>
            </w:pPr>
            <w:r w:rsidRPr="0059032A">
              <w:t>Measures for protecting p</w:t>
            </w:r>
            <w:r w:rsidR="002F38AA" w:rsidRPr="0059032A">
              <w:t>ersonal information in accordance with the Protection of Personal Information Act (POPI)</w:t>
            </w:r>
            <w:r w:rsidR="006425D3" w:rsidRPr="0059032A">
              <w:t xml:space="preserve"> </w:t>
            </w:r>
            <w:r w:rsidRPr="0059032A">
              <w:t xml:space="preserve">will be established </w:t>
            </w:r>
            <w:r w:rsidR="006425D3" w:rsidRPr="0059032A">
              <w:t>within the overall security management system</w:t>
            </w:r>
            <w:r w:rsidR="002F38AA" w:rsidRPr="0059032A">
              <w:t>.</w:t>
            </w:r>
            <w:r w:rsidR="006425D3" w:rsidRPr="0059032A">
              <w:t xml:space="preserve">  </w:t>
            </w:r>
            <w:r w:rsidR="002F38AA" w:rsidRPr="0059032A">
              <w:t xml:space="preserve"> </w:t>
            </w:r>
          </w:p>
          <w:p w:rsidR="00E546B9" w:rsidRPr="0059032A" w:rsidRDefault="00E546B9" w:rsidP="00E546B9">
            <w:pPr>
              <w:pStyle w:val="ListParagraph"/>
              <w:widowControl w:val="0"/>
              <w:numPr>
                <w:ilvl w:val="0"/>
                <w:numId w:val="7"/>
              </w:numPr>
            </w:pPr>
            <w:r w:rsidRPr="0059032A">
              <w:t>In accordance with t</w:t>
            </w:r>
            <w:r w:rsidR="002F38AA" w:rsidRPr="0059032A">
              <w:t>he act</w:t>
            </w:r>
            <w:r w:rsidRPr="0059032A">
              <w:t xml:space="preserve">, </w:t>
            </w:r>
            <w:r w:rsidR="00E5400C" w:rsidRPr="0059032A">
              <w:t xml:space="preserve">appropriate, reasonable, technical </w:t>
            </w:r>
            <w:r w:rsidR="00E9645E" w:rsidRPr="0059032A">
              <w:t xml:space="preserve">and organisational </w:t>
            </w:r>
            <w:r w:rsidR="006425D3" w:rsidRPr="0059032A">
              <w:t xml:space="preserve">measures </w:t>
            </w:r>
            <w:r w:rsidRPr="0059032A">
              <w:t xml:space="preserve">will be </w:t>
            </w:r>
            <w:r w:rsidR="00E5400C" w:rsidRPr="0059032A">
              <w:t xml:space="preserve">established </w:t>
            </w:r>
          </w:p>
          <w:p w:rsidR="002F38AA" w:rsidRPr="0059032A" w:rsidRDefault="00E546B9" w:rsidP="00E546B9">
            <w:pPr>
              <w:pStyle w:val="ListParagraph"/>
              <w:widowControl w:val="0"/>
              <w:numPr>
                <w:ilvl w:val="0"/>
                <w:numId w:val="7"/>
              </w:numPr>
            </w:pPr>
            <w:r w:rsidRPr="0059032A">
              <w:t xml:space="preserve">The measures will established </w:t>
            </w:r>
            <w:r w:rsidR="00E9645E" w:rsidRPr="0059032A">
              <w:t xml:space="preserve">in order to </w:t>
            </w:r>
            <w:r w:rsidRPr="0059032A">
              <w:t xml:space="preserve">prevent the loss or damage, unauthorised access and destruction to personal information. </w:t>
            </w:r>
          </w:p>
        </w:tc>
      </w:tr>
      <w:tr w:rsidR="0094686F" w:rsidRPr="0059032A" w:rsidTr="0059032A">
        <w:tc>
          <w:tcPr>
            <w:tcW w:w="2448" w:type="dxa"/>
            <w:vAlign w:val="center"/>
          </w:tcPr>
          <w:p w:rsidR="0094686F" w:rsidRPr="0059032A" w:rsidRDefault="0094686F"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Key Risk</w:t>
            </w:r>
          </w:p>
        </w:tc>
        <w:tc>
          <w:tcPr>
            <w:tcW w:w="6568" w:type="dxa"/>
            <w:vAlign w:val="center"/>
          </w:tcPr>
          <w:p w:rsidR="0094686F" w:rsidRPr="0059032A" w:rsidRDefault="009C4CBD" w:rsidP="0094686F">
            <w:pPr>
              <w:widowControl w:val="0"/>
            </w:pPr>
            <w:r w:rsidRPr="0059032A">
              <w:t>[company name]</w:t>
            </w:r>
            <w:r w:rsidR="0094686F" w:rsidRPr="0059032A">
              <w:t xml:space="preserve"> has identified the following potential key risks, which this policy is designed to address:</w:t>
            </w:r>
          </w:p>
          <w:p w:rsidR="0094686F" w:rsidRPr="0059032A" w:rsidRDefault="0094686F" w:rsidP="0094686F">
            <w:pPr>
              <w:widowControl w:val="0"/>
            </w:pPr>
          </w:p>
          <w:p w:rsidR="0094686F" w:rsidRPr="0059032A" w:rsidRDefault="0094686F" w:rsidP="0094686F">
            <w:pPr>
              <w:widowControl w:val="0"/>
              <w:numPr>
                <w:ilvl w:val="0"/>
                <w:numId w:val="5"/>
              </w:numPr>
              <w:tabs>
                <w:tab w:val="left" w:pos="284"/>
                <w:tab w:val="left" w:pos="1418"/>
                <w:tab w:val="left" w:pos="5670"/>
                <w:tab w:val="decimal" w:pos="7938"/>
              </w:tabs>
              <w:overflowPunct w:val="0"/>
              <w:autoSpaceDE w:val="0"/>
              <w:autoSpaceDN w:val="0"/>
              <w:adjustRightInd w:val="0"/>
              <w:textAlignment w:val="baseline"/>
            </w:pPr>
            <w:r w:rsidRPr="0059032A">
              <w:t>Breach of security by allowing unauthorised access to internal and external users e.g. sharing usernames/passwords;</w:t>
            </w:r>
          </w:p>
          <w:p w:rsidR="0094686F" w:rsidRPr="0059032A" w:rsidRDefault="0094686F" w:rsidP="0094686F">
            <w:pPr>
              <w:widowControl w:val="0"/>
              <w:numPr>
                <w:ilvl w:val="0"/>
                <w:numId w:val="5"/>
              </w:numPr>
              <w:tabs>
                <w:tab w:val="left" w:pos="284"/>
                <w:tab w:val="left" w:pos="1418"/>
                <w:tab w:val="left" w:pos="5670"/>
                <w:tab w:val="decimal" w:pos="7938"/>
              </w:tabs>
              <w:overflowPunct w:val="0"/>
              <w:autoSpaceDE w:val="0"/>
              <w:autoSpaceDN w:val="0"/>
              <w:adjustRightInd w:val="0"/>
              <w:textAlignment w:val="baseline"/>
            </w:pPr>
            <w:r w:rsidRPr="0059032A">
              <w:t>Hacking attempts;</w:t>
            </w:r>
          </w:p>
          <w:p w:rsidR="0094686F" w:rsidRPr="0059032A" w:rsidRDefault="0094686F" w:rsidP="0094686F">
            <w:pPr>
              <w:widowControl w:val="0"/>
              <w:numPr>
                <w:ilvl w:val="0"/>
                <w:numId w:val="5"/>
              </w:numPr>
              <w:tabs>
                <w:tab w:val="left" w:pos="284"/>
                <w:tab w:val="left" w:pos="1418"/>
                <w:tab w:val="left" w:pos="5670"/>
                <w:tab w:val="decimal" w:pos="7938"/>
              </w:tabs>
              <w:overflowPunct w:val="0"/>
              <w:autoSpaceDE w:val="0"/>
              <w:autoSpaceDN w:val="0"/>
              <w:adjustRightInd w:val="0"/>
              <w:textAlignment w:val="baseline"/>
            </w:pPr>
            <w:r w:rsidRPr="0059032A">
              <w:t>Virus attacks;</w:t>
            </w:r>
          </w:p>
          <w:p w:rsidR="0094686F" w:rsidRPr="0059032A" w:rsidRDefault="0094686F" w:rsidP="0094686F">
            <w:pPr>
              <w:widowControl w:val="0"/>
              <w:numPr>
                <w:ilvl w:val="0"/>
                <w:numId w:val="5"/>
              </w:numPr>
              <w:tabs>
                <w:tab w:val="left" w:pos="284"/>
                <w:tab w:val="left" w:pos="1418"/>
                <w:tab w:val="left" w:pos="5670"/>
                <w:tab w:val="decimal" w:pos="7938"/>
              </w:tabs>
              <w:overflowPunct w:val="0"/>
              <w:autoSpaceDE w:val="0"/>
              <w:autoSpaceDN w:val="0"/>
              <w:adjustRightInd w:val="0"/>
              <w:textAlignment w:val="baseline"/>
            </w:pPr>
            <w:r w:rsidRPr="0059032A">
              <w:t>Information stored on mobile devices lost or stolen;</w:t>
            </w:r>
          </w:p>
          <w:p w:rsidR="0094686F" w:rsidRPr="0059032A" w:rsidRDefault="0094686F" w:rsidP="0094686F">
            <w:pPr>
              <w:widowControl w:val="0"/>
              <w:numPr>
                <w:ilvl w:val="0"/>
                <w:numId w:val="5"/>
              </w:numPr>
              <w:tabs>
                <w:tab w:val="left" w:pos="284"/>
                <w:tab w:val="left" w:pos="1418"/>
                <w:tab w:val="left" w:pos="5670"/>
                <w:tab w:val="decimal" w:pos="7938"/>
              </w:tabs>
              <w:overflowPunct w:val="0"/>
              <w:autoSpaceDE w:val="0"/>
              <w:autoSpaceDN w:val="0"/>
              <w:adjustRightInd w:val="0"/>
              <w:textAlignment w:val="baseline"/>
            </w:pPr>
            <w:r w:rsidRPr="0059032A">
              <w:t>Lack of knowledge among employees regarding the importance of protection company information.</w:t>
            </w:r>
          </w:p>
        </w:tc>
      </w:tr>
      <w:tr w:rsidR="0094686F" w:rsidRPr="0059032A" w:rsidTr="0059032A">
        <w:trPr>
          <w:trHeight w:val="407"/>
        </w:trPr>
        <w:tc>
          <w:tcPr>
            <w:tcW w:w="2448" w:type="dxa"/>
            <w:vAlign w:val="center"/>
          </w:tcPr>
          <w:p w:rsidR="0094686F" w:rsidRPr="0059032A" w:rsidRDefault="0085213E"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Business Continuity</w:t>
            </w:r>
          </w:p>
        </w:tc>
        <w:tc>
          <w:tcPr>
            <w:tcW w:w="6568" w:type="dxa"/>
            <w:vAlign w:val="center"/>
          </w:tcPr>
          <w:p w:rsidR="0094686F" w:rsidRPr="0059032A" w:rsidRDefault="0094686F" w:rsidP="0094686F">
            <w:pPr>
              <w:widowControl w:val="0"/>
            </w:pPr>
            <w:r w:rsidRPr="0059032A">
              <w:t>Disaster recovery and contingency plans, data backup procedures, avoidance of viruses and hackers, access control to systems and information security incident reporting are fundamental to this policy and will be developed, and maintained.</w:t>
            </w:r>
          </w:p>
        </w:tc>
      </w:tr>
      <w:tr w:rsidR="0094686F" w:rsidRPr="0059032A" w:rsidTr="00FA0D87">
        <w:trPr>
          <w:trHeight w:val="407"/>
        </w:trPr>
        <w:tc>
          <w:tcPr>
            <w:tcW w:w="9016" w:type="dxa"/>
            <w:gridSpan w:val="2"/>
            <w:vAlign w:val="center"/>
          </w:tcPr>
          <w:p w:rsidR="0094686F" w:rsidRPr="0059032A" w:rsidRDefault="0094686F" w:rsidP="0094686F">
            <w:pPr>
              <w:pStyle w:val="Heading2"/>
              <w:keepNext w:val="0"/>
              <w:widowControl w:val="0"/>
              <w:jc w:val="center"/>
              <w:outlineLvl w:val="1"/>
              <w:rPr>
                <w:rFonts w:asciiTheme="minorHAnsi" w:hAnsiTheme="minorHAnsi"/>
                <w:sz w:val="22"/>
                <w:szCs w:val="22"/>
              </w:rPr>
            </w:pPr>
          </w:p>
        </w:tc>
      </w:tr>
      <w:tr w:rsidR="0059032A" w:rsidRPr="0059032A" w:rsidTr="0059032A">
        <w:trPr>
          <w:trHeight w:val="407"/>
        </w:trPr>
        <w:tc>
          <w:tcPr>
            <w:tcW w:w="2448" w:type="dxa"/>
            <w:vMerge w:val="restart"/>
            <w:vAlign w:val="center"/>
          </w:tcPr>
          <w:p w:rsidR="0059032A" w:rsidRPr="0059032A" w:rsidRDefault="0059032A" w:rsidP="0094686F">
            <w:pPr>
              <w:pStyle w:val="Heading2"/>
              <w:keepNext w:val="0"/>
              <w:widowControl w:val="0"/>
              <w:outlineLvl w:val="1"/>
              <w:rPr>
                <w:rFonts w:asciiTheme="minorHAnsi" w:hAnsiTheme="minorHAnsi"/>
                <w:sz w:val="22"/>
                <w:szCs w:val="22"/>
              </w:rPr>
            </w:pPr>
            <w:r w:rsidRPr="0059032A">
              <w:rPr>
                <w:rFonts w:asciiTheme="minorHAnsi" w:hAnsiTheme="minorHAnsi"/>
                <w:sz w:val="22"/>
                <w:szCs w:val="22"/>
              </w:rPr>
              <w:t>Responsibilities</w:t>
            </w:r>
          </w:p>
        </w:tc>
        <w:tc>
          <w:tcPr>
            <w:tcW w:w="6568" w:type="dxa"/>
            <w:vAlign w:val="center"/>
          </w:tcPr>
          <w:p w:rsidR="0059032A" w:rsidRDefault="0059032A" w:rsidP="0094686F">
            <w:pPr>
              <w:widowControl w:val="0"/>
              <w:rPr>
                <w:rFonts w:cs="Arial"/>
              </w:rPr>
            </w:pPr>
            <w:r w:rsidRPr="0059032A">
              <w:t xml:space="preserve">Managing Director/CEO </w:t>
            </w:r>
            <w:r w:rsidRPr="0059032A">
              <w:rPr>
                <w:rFonts w:cs="Arial"/>
              </w:rPr>
              <w:t xml:space="preserve">has overall responsibility for Information Security.  This responsibility may be delegated to an Information Security Officer or Information Officer for the management of issues relating the controlling of access to information and privacy of information in terms of legal requirements as prescribed in the PAIA Act, </w:t>
            </w:r>
            <w:proofErr w:type="spellStart"/>
            <w:r w:rsidRPr="0059032A">
              <w:rPr>
                <w:rFonts w:cs="Arial"/>
              </w:rPr>
              <w:t>PoPI</w:t>
            </w:r>
            <w:proofErr w:type="spellEnd"/>
            <w:r w:rsidRPr="0059032A">
              <w:rPr>
                <w:rFonts w:cs="Arial"/>
              </w:rPr>
              <w:t xml:space="preserve"> Act and other related acts or regulations.</w:t>
            </w:r>
          </w:p>
          <w:p w:rsidR="00707362" w:rsidRPr="0059032A" w:rsidRDefault="00707362" w:rsidP="0094686F">
            <w:pPr>
              <w:widowControl w:val="0"/>
            </w:pPr>
          </w:p>
        </w:tc>
      </w:tr>
      <w:tr w:rsidR="0059032A" w:rsidRPr="0059032A" w:rsidTr="0059032A">
        <w:trPr>
          <w:trHeight w:val="407"/>
        </w:trPr>
        <w:tc>
          <w:tcPr>
            <w:tcW w:w="2448" w:type="dxa"/>
            <w:vMerge/>
            <w:vAlign w:val="center"/>
          </w:tcPr>
          <w:p w:rsidR="0059032A" w:rsidRPr="0059032A" w:rsidRDefault="0059032A" w:rsidP="0094686F">
            <w:pPr>
              <w:pStyle w:val="Heading2"/>
              <w:keepNext w:val="0"/>
              <w:widowControl w:val="0"/>
              <w:outlineLvl w:val="1"/>
              <w:rPr>
                <w:rFonts w:asciiTheme="minorHAnsi" w:hAnsiTheme="minorHAnsi"/>
                <w:sz w:val="22"/>
                <w:szCs w:val="22"/>
              </w:rPr>
            </w:pPr>
          </w:p>
        </w:tc>
        <w:tc>
          <w:tcPr>
            <w:tcW w:w="6568" w:type="dxa"/>
            <w:vAlign w:val="center"/>
          </w:tcPr>
          <w:p w:rsidR="0059032A" w:rsidRPr="0059032A" w:rsidRDefault="0059032A" w:rsidP="0094686F">
            <w:pPr>
              <w:widowControl w:val="0"/>
            </w:pPr>
            <w:r w:rsidRPr="0059032A">
              <w:rPr>
                <w:rFonts w:cs="Arial"/>
              </w:rPr>
              <w:t>Information Security Officer has the delegated responsibility for all aspects of Information Technology security management, including planning, budgeting, monitoring and reporting and the co-ordination of control implementation.</w:t>
            </w:r>
          </w:p>
        </w:tc>
      </w:tr>
      <w:tr w:rsidR="0059032A" w:rsidRPr="0059032A" w:rsidTr="0059032A">
        <w:trPr>
          <w:trHeight w:val="407"/>
        </w:trPr>
        <w:tc>
          <w:tcPr>
            <w:tcW w:w="2448" w:type="dxa"/>
            <w:vMerge/>
            <w:vAlign w:val="center"/>
          </w:tcPr>
          <w:p w:rsidR="0059032A" w:rsidRPr="0059032A" w:rsidRDefault="0059032A" w:rsidP="0094686F">
            <w:pPr>
              <w:pStyle w:val="Heading2"/>
              <w:keepNext w:val="0"/>
              <w:widowControl w:val="0"/>
              <w:outlineLvl w:val="1"/>
              <w:rPr>
                <w:rFonts w:asciiTheme="minorHAnsi" w:hAnsiTheme="minorHAnsi"/>
                <w:sz w:val="22"/>
                <w:szCs w:val="22"/>
              </w:rPr>
            </w:pPr>
          </w:p>
        </w:tc>
        <w:tc>
          <w:tcPr>
            <w:tcW w:w="6568" w:type="dxa"/>
            <w:vAlign w:val="center"/>
          </w:tcPr>
          <w:p w:rsidR="0059032A" w:rsidRPr="0059032A" w:rsidRDefault="0059032A" w:rsidP="0094686F">
            <w:pPr>
              <w:jc w:val="both"/>
              <w:rPr>
                <w:rFonts w:cs="Arial"/>
              </w:rPr>
            </w:pPr>
            <w:r w:rsidRPr="0059032A">
              <w:rPr>
                <w:rFonts w:cs="Arial"/>
              </w:rPr>
              <w:t>Business Information Owners have the authority and responsibility to:</w:t>
            </w:r>
          </w:p>
          <w:p w:rsidR="0059032A" w:rsidRPr="0059032A" w:rsidRDefault="0059032A" w:rsidP="0094686F">
            <w:pPr>
              <w:jc w:val="both"/>
              <w:rPr>
                <w:rFonts w:cs="Arial"/>
              </w:rPr>
            </w:pPr>
          </w:p>
          <w:p w:rsidR="0059032A" w:rsidRPr="0059032A" w:rsidRDefault="0059032A" w:rsidP="0094686F">
            <w:pPr>
              <w:numPr>
                <w:ilvl w:val="0"/>
                <w:numId w:val="6"/>
              </w:numPr>
              <w:spacing w:before="60" w:line="280" w:lineRule="atLeast"/>
              <w:jc w:val="both"/>
            </w:pPr>
            <w:r w:rsidRPr="0059032A">
              <w:t>judge the value and sensitivity of information and classify it in accordance with the relevant security policies, standards and procedures;</w:t>
            </w:r>
          </w:p>
          <w:p w:rsidR="0059032A" w:rsidRPr="0059032A" w:rsidRDefault="0059032A" w:rsidP="0094686F">
            <w:pPr>
              <w:numPr>
                <w:ilvl w:val="0"/>
                <w:numId w:val="6"/>
              </w:numPr>
              <w:spacing w:before="60" w:line="280" w:lineRule="atLeast"/>
              <w:jc w:val="both"/>
            </w:pPr>
            <w:r w:rsidRPr="0059032A">
              <w:t>ensure that their business information is protected in accordance with the Information Security Policy;</w:t>
            </w:r>
          </w:p>
          <w:p w:rsidR="0059032A" w:rsidRPr="0059032A" w:rsidRDefault="0059032A" w:rsidP="0094686F">
            <w:pPr>
              <w:numPr>
                <w:ilvl w:val="0"/>
                <w:numId w:val="6"/>
              </w:numPr>
              <w:spacing w:before="60" w:line="280" w:lineRule="atLeast"/>
              <w:jc w:val="both"/>
            </w:pPr>
            <w:r w:rsidRPr="0059032A">
              <w:t>authorise access to the information for which they are responsible;</w:t>
            </w:r>
          </w:p>
          <w:p w:rsidR="0059032A" w:rsidRPr="0059032A" w:rsidRDefault="0059032A" w:rsidP="0094686F">
            <w:pPr>
              <w:numPr>
                <w:ilvl w:val="0"/>
                <w:numId w:val="6"/>
              </w:numPr>
              <w:spacing w:before="60" w:line="280" w:lineRule="atLeast"/>
              <w:jc w:val="both"/>
            </w:pPr>
            <w:r w:rsidRPr="0059032A">
              <w:t>assign custodianship for information;</w:t>
            </w:r>
          </w:p>
          <w:p w:rsidR="0059032A" w:rsidRPr="0059032A" w:rsidRDefault="0059032A" w:rsidP="0094686F">
            <w:pPr>
              <w:numPr>
                <w:ilvl w:val="0"/>
                <w:numId w:val="6"/>
              </w:numPr>
              <w:spacing w:before="60" w:line="280" w:lineRule="atLeast"/>
              <w:jc w:val="both"/>
            </w:pPr>
            <w:r w:rsidRPr="0059032A">
              <w:t>specify controls in service level agreements and communicate the control requirements to the custodian and users of the information and obtain assurance from the custodian that control requirements are met;</w:t>
            </w:r>
          </w:p>
          <w:p w:rsidR="0059032A" w:rsidRPr="0059032A" w:rsidRDefault="0059032A" w:rsidP="0094686F">
            <w:pPr>
              <w:numPr>
                <w:ilvl w:val="0"/>
                <w:numId w:val="6"/>
              </w:numPr>
              <w:spacing w:before="60" w:line="280" w:lineRule="atLeast"/>
              <w:jc w:val="both"/>
            </w:pPr>
            <w:r w:rsidRPr="0059032A">
              <w:t>develop business continuity plans;</w:t>
            </w:r>
          </w:p>
          <w:p w:rsidR="0059032A" w:rsidRPr="0059032A" w:rsidRDefault="0059032A" w:rsidP="0094686F">
            <w:pPr>
              <w:numPr>
                <w:ilvl w:val="0"/>
                <w:numId w:val="6"/>
              </w:numPr>
              <w:spacing w:before="60" w:line="280" w:lineRule="atLeast"/>
              <w:jc w:val="both"/>
            </w:pPr>
            <w:proofErr w:type="gramStart"/>
            <w:r w:rsidRPr="0059032A">
              <w:t>monitor</w:t>
            </w:r>
            <w:proofErr w:type="gramEnd"/>
            <w:r w:rsidRPr="0059032A">
              <w:t xml:space="preserve"> compliance with information security policies, procedures, standards and security measures, and record and report violations thereof.</w:t>
            </w:r>
          </w:p>
        </w:tc>
      </w:tr>
      <w:tr w:rsidR="0059032A" w:rsidRPr="0059032A" w:rsidTr="0059032A">
        <w:trPr>
          <w:trHeight w:val="407"/>
        </w:trPr>
        <w:tc>
          <w:tcPr>
            <w:tcW w:w="2448" w:type="dxa"/>
            <w:vMerge/>
            <w:vAlign w:val="center"/>
          </w:tcPr>
          <w:p w:rsidR="0059032A" w:rsidRPr="0059032A" w:rsidRDefault="0059032A" w:rsidP="0094686F">
            <w:pPr>
              <w:pStyle w:val="Heading2"/>
              <w:keepNext w:val="0"/>
              <w:widowControl w:val="0"/>
              <w:outlineLvl w:val="1"/>
              <w:rPr>
                <w:rFonts w:asciiTheme="minorHAnsi" w:hAnsiTheme="minorHAnsi"/>
                <w:sz w:val="22"/>
                <w:szCs w:val="22"/>
              </w:rPr>
            </w:pPr>
          </w:p>
        </w:tc>
        <w:tc>
          <w:tcPr>
            <w:tcW w:w="6568" w:type="dxa"/>
            <w:vAlign w:val="center"/>
          </w:tcPr>
          <w:p w:rsidR="0059032A" w:rsidRPr="0059032A" w:rsidRDefault="0059032A" w:rsidP="009C4CBD">
            <w:pPr>
              <w:pStyle w:val="BodyTextIndent"/>
              <w:tabs>
                <w:tab w:val="left" w:pos="1560"/>
              </w:tabs>
              <w:spacing w:before="60"/>
              <w:ind w:left="0"/>
              <w:jc w:val="both"/>
              <w:rPr>
                <w:rFonts w:asciiTheme="minorHAnsi" w:hAnsiTheme="minorHAnsi" w:cs="Arial"/>
                <w:sz w:val="22"/>
                <w:szCs w:val="22"/>
              </w:rPr>
            </w:pPr>
            <w:r w:rsidRPr="0059032A">
              <w:rPr>
                <w:rFonts w:asciiTheme="minorHAnsi" w:hAnsiTheme="minorHAnsi" w:cs="Arial"/>
                <w:sz w:val="22"/>
                <w:szCs w:val="22"/>
              </w:rPr>
              <w:t>Employees,</w:t>
            </w:r>
            <w:bookmarkStart w:id="0" w:name="_GoBack"/>
            <w:bookmarkEnd w:id="0"/>
            <w:r w:rsidR="00707362">
              <w:rPr>
                <w:rFonts w:asciiTheme="minorHAnsi" w:hAnsiTheme="minorHAnsi" w:cs="Arial"/>
                <w:sz w:val="22"/>
                <w:szCs w:val="22"/>
              </w:rPr>
              <w:t xml:space="preserve"> </w:t>
            </w:r>
            <w:r w:rsidRPr="0059032A">
              <w:rPr>
                <w:rFonts w:asciiTheme="minorHAnsi" w:hAnsiTheme="minorHAnsi" w:cs="Arial"/>
                <w:sz w:val="22"/>
                <w:szCs w:val="22"/>
              </w:rPr>
              <w:t>Temporary Employees, Contractors and Third Parties who have access to the information belonging to [company name] are responsible for adhering to the various Information Security Policies, Standards and Procedures documents. They have an inherent responsibility for protecting information during the course of their daily activities.</w:t>
            </w:r>
          </w:p>
        </w:tc>
      </w:tr>
      <w:tr w:rsidR="0059032A" w:rsidRPr="0059032A" w:rsidTr="0059032A">
        <w:trPr>
          <w:trHeight w:val="407"/>
        </w:trPr>
        <w:tc>
          <w:tcPr>
            <w:tcW w:w="2448" w:type="dxa"/>
            <w:vMerge/>
            <w:vAlign w:val="center"/>
          </w:tcPr>
          <w:p w:rsidR="0059032A" w:rsidRPr="0059032A" w:rsidRDefault="0059032A" w:rsidP="0094686F">
            <w:pPr>
              <w:pStyle w:val="Heading2"/>
              <w:keepNext w:val="0"/>
              <w:widowControl w:val="0"/>
              <w:outlineLvl w:val="1"/>
              <w:rPr>
                <w:rFonts w:asciiTheme="minorHAnsi" w:hAnsiTheme="minorHAnsi"/>
                <w:sz w:val="22"/>
                <w:szCs w:val="22"/>
              </w:rPr>
            </w:pPr>
          </w:p>
        </w:tc>
        <w:tc>
          <w:tcPr>
            <w:tcW w:w="6568" w:type="dxa"/>
            <w:vAlign w:val="center"/>
          </w:tcPr>
          <w:p w:rsidR="0059032A" w:rsidRPr="0059032A" w:rsidRDefault="0059032A" w:rsidP="006425D3">
            <w:pPr>
              <w:pStyle w:val="BodyTextIndent"/>
              <w:tabs>
                <w:tab w:val="left" w:pos="1560"/>
              </w:tabs>
              <w:spacing w:before="60"/>
              <w:ind w:left="0"/>
              <w:jc w:val="both"/>
              <w:rPr>
                <w:rFonts w:asciiTheme="minorHAnsi" w:hAnsiTheme="minorHAnsi" w:cs="Arial"/>
                <w:sz w:val="22"/>
                <w:szCs w:val="22"/>
              </w:rPr>
            </w:pPr>
            <w:r w:rsidRPr="0059032A">
              <w:rPr>
                <w:rFonts w:asciiTheme="minorHAnsi" w:hAnsiTheme="minorHAnsi" w:cs="Arial"/>
                <w:sz w:val="22"/>
                <w:szCs w:val="22"/>
              </w:rPr>
              <w:t xml:space="preserve">Operators, which includes but is not limited to external parties such as Business Partners and IT Service Providers, who process information, in particular personal information, are responsible for adhering to the various Information Security Policies, Standards and Procedures documents, as well as the Conditions for Security Safeguards and Measures regarding information processed by the Operator.  </w:t>
            </w:r>
          </w:p>
        </w:tc>
      </w:tr>
    </w:tbl>
    <w:p w:rsidR="00B724D7" w:rsidRPr="0059032A" w:rsidRDefault="00B724D7"/>
    <w:sectPr w:rsidR="00B724D7" w:rsidRPr="0059032A" w:rsidSect="00C9552C">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940" w:rsidRDefault="003A0940" w:rsidP="0059032A">
      <w:pPr>
        <w:spacing w:after="0" w:line="240" w:lineRule="auto"/>
      </w:pPr>
      <w:r>
        <w:separator/>
      </w:r>
    </w:p>
  </w:endnote>
  <w:endnote w:type="continuationSeparator" w:id="0">
    <w:p w:rsidR="003A0940" w:rsidRDefault="003A0940" w:rsidP="005903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32A" w:rsidRPr="000E7E43" w:rsidRDefault="000E7E43" w:rsidP="000E7E43">
    <w:pPr>
      <w:pStyle w:val="Footer"/>
    </w:pPr>
    <w:r w:rsidRPr="000E7E43">
      <w:rPr>
        <w:rFonts w:ascii="Arial" w:hAnsi="Arial" w:cs="Arial"/>
        <w:b/>
        <w:bCs/>
        <w:color w:val="222222"/>
        <w:sz w:val="19"/>
        <w:szCs w:val="19"/>
        <w:shd w:val="clear" w:color="auto" w:fill="FFFFFF"/>
      </w:rPr>
      <w:t>Copyright © John Cato &amp; Dr Peter Tobin, 2016. All rights reserved.</w:t>
    </w:r>
    <w:r>
      <w:rPr>
        <w:rFonts w:ascii="Arial" w:hAnsi="Arial" w:cs="Arial"/>
        <w:b/>
        <w:bCs/>
        <w:color w:val="222222"/>
        <w:sz w:val="19"/>
        <w:szCs w:val="19"/>
        <w:shd w:val="clear" w:color="auto" w:fill="FFFFFF"/>
      </w:rPr>
      <w:tab/>
    </w:r>
    <w:r>
      <w:rPr>
        <w:rFonts w:ascii="Arial" w:hAnsi="Arial" w:cs="Arial"/>
        <w:b/>
        <w:bCs/>
        <w:color w:val="222222"/>
        <w:sz w:val="19"/>
        <w:szCs w:val="19"/>
        <w:shd w:val="clear" w:color="auto" w:fill="FFFFFF"/>
      </w:rPr>
      <w:fldChar w:fldCharType="begin"/>
    </w:r>
    <w:r>
      <w:rPr>
        <w:rFonts w:ascii="Arial" w:hAnsi="Arial" w:cs="Arial"/>
        <w:b/>
        <w:bCs/>
        <w:color w:val="222222"/>
        <w:sz w:val="19"/>
        <w:szCs w:val="19"/>
        <w:shd w:val="clear" w:color="auto" w:fill="FFFFFF"/>
      </w:rPr>
      <w:instrText xml:space="preserve"> PAGE   \* MERGEFORMAT </w:instrText>
    </w:r>
    <w:r>
      <w:rPr>
        <w:rFonts w:ascii="Arial" w:hAnsi="Arial" w:cs="Arial"/>
        <w:b/>
        <w:bCs/>
        <w:color w:val="222222"/>
        <w:sz w:val="19"/>
        <w:szCs w:val="19"/>
        <w:shd w:val="clear" w:color="auto" w:fill="FFFFFF"/>
      </w:rPr>
      <w:fldChar w:fldCharType="separate"/>
    </w:r>
    <w:r>
      <w:rPr>
        <w:rFonts w:ascii="Arial" w:hAnsi="Arial" w:cs="Arial"/>
        <w:b/>
        <w:bCs/>
        <w:noProof/>
        <w:color w:val="222222"/>
        <w:sz w:val="19"/>
        <w:szCs w:val="19"/>
        <w:shd w:val="clear" w:color="auto" w:fill="FFFFFF"/>
      </w:rPr>
      <w:t>1</w:t>
    </w:r>
    <w:r>
      <w:rPr>
        <w:rFonts w:ascii="Arial" w:hAnsi="Arial" w:cs="Arial"/>
        <w:b/>
        <w:bCs/>
        <w:color w:val="222222"/>
        <w:sz w:val="19"/>
        <w:szCs w:val="19"/>
        <w:shd w:val="clear" w:color="auto" w:fill="FFFFF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940" w:rsidRDefault="003A0940" w:rsidP="0059032A">
      <w:pPr>
        <w:spacing w:after="0" w:line="240" w:lineRule="auto"/>
      </w:pPr>
      <w:r>
        <w:separator/>
      </w:r>
    </w:p>
  </w:footnote>
  <w:footnote w:type="continuationSeparator" w:id="0">
    <w:p w:rsidR="003A0940" w:rsidRDefault="003A0940" w:rsidP="005903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362" w:rsidRDefault="00762B0A">
    <w:pPr>
      <w:pStyle w:val="Header"/>
    </w:pPr>
    <w:r>
      <w:t>POPI Core Licence</w:t>
    </w:r>
    <w:r>
      <w:rPr>
        <w:noProof/>
      </w:rPr>
      <w:t xml:space="preserve"> </w:t>
    </w:r>
    <w:fldSimple w:instr=" FILENAME   \* MERGEFORMAT ">
      <w:r w:rsidR="00707362">
        <w:rPr>
          <w:noProof/>
        </w:rPr>
        <w:t>Information Security Policy template v1.0</w:t>
      </w:r>
    </w:fldSimple>
    <w:r w:rsidR="00707362">
      <w:tab/>
    </w:r>
    <w:fldSimple w:instr=" PAGE   \* MERGEFORMAT ">
      <w:r w:rsidR="000E7E43">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tentative="1">
      <w:start w:val="1"/>
      <w:numFmt w:val="bullet"/>
      <w:lvlText w:val="o"/>
      <w:lvlJc w:val="left"/>
      <w:pPr>
        <w:tabs>
          <w:tab w:val="num" w:pos="1365"/>
        </w:tabs>
        <w:ind w:left="1365" w:hanging="360"/>
      </w:pPr>
      <w:rPr>
        <w:rFonts w:ascii="Courier New" w:hAnsi="Courier New" w:hint="default"/>
      </w:rPr>
    </w:lvl>
    <w:lvl w:ilvl="2" w:tplc="04090005" w:tentative="1">
      <w:start w:val="1"/>
      <w:numFmt w:val="bullet"/>
      <w:lvlText w:val=""/>
      <w:lvlJc w:val="left"/>
      <w:pPr>
        <w:tabs>
          <w:tab w:val="num" w:pos="2085"/>
        </w:tabs>
        <w:ind w:left="2085" w:hanging="360"/>
      </w:pPr>
      <w:rPr>
        <w:rFonts w:ascii="Wingdings" w:hAnsi="Wingdings" w:hint="default"/>
      </w:rPr>
    </w:lvl>
    <w:lvl w:ilvl="3" w:tplc="04090001" w:tentative="1">
      <w:start w:val="1"/>
      <w:numFmt w:val="bullet"/>
      <w:lvlText w:val=""/>
      <w:lvlJc w:val="left"/>
      <w:pPr>
        <w:tabs>
          <w:tab w:val="num" w:pos="2805"/>
        </w:tabs>
        <w:ind w:left="2805" w:hanging="360"/>
      </w:pPr>
      <w:rPr>
        <w:rFonts w:ascii="Symbol" w:hAnsi="Symbol" w:hint="default"/>
      </w:rPr>
    </w:lvl>
    <w:lvl w:ilvl="4" w:tplc="04090003" w:tentative="1">
      <w:start w:val="1"/>
      <w:numFmt w:val="bullet"/>
      <w:lvlText w:val="o"/>
      <w:lvlJc w:val="left"/>
      <w:pPr>
        <w:tabs>
          <w:tab w:val="num" w:pos="3525"/>
        </w:tabs>
        <w:ind w:left="3525" w:hanging="360"/>
      </w:pPr>
      <w:rPr>
        <w:rFonts w:ascii="Courier New" w:hAnsi="Courier New" w:hint="default"/>
      </w:rPr>
    </w:lvl>
    <w:lvl w:ilvl="5" w:tplc="04090005" w:tentative="1">
      <w:start w:val="1"/>
      <w:numFmt w:val="bullet"/>
      <w:lvlText w:val=""/>
      <w:lvlJc w:val="left"/>
      <w:pPr>
        <w:tabs>
          <w:tab w:val="num" w:pos="4245"/>
        </w:tabs>
        <w:ind w:left="4245" w:hanging="360"/>
      </w:pPr>
      <w:rPr>
        <w:rFonts w:ascii="Wingdings" w:hAnsi="Wingdings" w:hint="default"/>
      </w:rPr>
    </w:lvl>
    <w:lvl w:ilvl="6" w:tplc="04090001" w:tentative="1">
      <w:start w:val="1"/>
      <w:numFmt w:val="bullet"/>
      <w:lvlText w:val=""/>
      <w:lvlJc w:val="left"/>
      <w:pPr>
        <w:tabs>
          <w:tab w:val="num" w:pos="4965"/>
        </w:tabs>
        <w:ind w:left="4965" w:hanging="360"/>
      </w:pPr>
      <w:rPr>
        <w:rFonts w:ascii="Symbol" w:hAnsi="Symbol" w:hint="default"/>
      </w:rPr>
    </w:lvl>
    <w:lvl w:ilvl="7" w:tplc="04090003" w:tentative="1">
      <w:start w:val="1"/>
      <w:numFmt w:val="bullet"/>
      <w:lvlText w:val="o"/>
      <w:lvlJc w:val="left"/>
      <w:pPr>
        <w:tabs>
          <w:tab w:val="num" w:pos="5685"/>
        </w:tabs>
        <w:ind w:left="5685" w:hanging="360"/>
      </w:pPr>
      <w:rPr>
        <w:rFonts w:ascii="Courier New" w:hAnsi="Courier New" w:hint="default"/>
      </w:rPr>
    </w:lvl>
    <w:lvl w:ilvl="8" w:tplc="04090005" w:tentative="1">
      <w:start w:val="1"/>
      <w:numFmt w:val="bullet"/>
      <w:lvlText w:val=""/>
      <w:lvlJc w:val="left"/>
      <w:pPr>
        <w:tabs>
          <w:tab w:val="num" w:pos="6405"/>
        </w:tabs>
        <w:ind w:left="6405" w:hanging="360"/>
      </w:pPr>
      <w:rPr>
        <w:rFonts w:ascii="Wingdings" w:hAnsi="Wingdings" w:hint="default"/>
      </w:rPr>
    </w:lvl>
  </w:abstractNum>
  <w:abstractNum w:abstractNumId="1">
    <w:nsid w:val="1F2867C6"/>
    <w:multiLevelType w:val="hybridMultilevel"/>
    <w:tmpl w:val="A8C650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FB93ABB"/>
    <w:multiLevelType w:val="singleLevel"/>
    <w:tmpl w:val="0D76DCD2"/>
    <w:lvl w:ilvl="0">
      <w:start w:val="1"/>
      <w:numFmt w:val="lowerLetter"/>
      <w:pStyle w:val="bullet"/>
      <w:lvlText w:val="%1."/>
      <w:lvlJc w:val="left"/>
      <w:pPr>
        <w:tabs>
          <w:tab w:val="num" w:pos="360"/>
        </w:tabs>
        <w:ind w:left="360" w:hanging="360"/>
      </w:pPr>
      <w:rPr>
        <w:rFonts w:hint="default"/>
      </w:rPr>
    </w:lvl>
  </w:abstractNum>
  <w:abstractNum w:abstractNumId="3">
    <w:nsid w:val="300C0536"/>
    <w:multiLevelType w:val="hybridMultilevel"/>
    <w:tmpl w:val="1A408D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3AFC195C"/>
    <w:multiLevelType w:val="hybridMultilevel"/>
    <w:tmpl w:val="13CCD4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43E43A04"/>
    <w:multiLevelType w:val="hybridMultilevel"/>
    <w:tmpl w:val="DD9C50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528167B5"/>
    <w:multiLevelType w:val="hybridMultilevel"/>
    <w:tmpl w:val="BDCA80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B724D7"/>
    <w:rsid w:val="00034235"/>
    <w:rsid w:val="000A1ED4"/>
    <w:rsid w:val="000E7E43"/>
    <w:rsid w:val="00191C20"/>
    <w:rsid w:val="001A2E1B"/>
    <w:rsid w:val="001C4C67"/>
    <w:rsid w:val="001D0AE1"/>
    <w:rsid w:val="002864B8"/>
    <w:rsid w:val="002F38AA"/>
    <w:rsid w:val="00310EBB"/>
    <w:rsid w:val="0034714D"/>
    <w:rsid w:val="003A0940"/>
    <w:rsid w:val="003E278B"/>
    <w:rsid w:val="003E7EB2"/>
    <w:rsid w:val="00421B50"/>
    <w:rsid w:val="004E71DF"/>
    <w:rsid w:val="0059032A"/>
    <w:rsid w:val="005B5EB1"/>
    <w:rsid w:val="006425D3"/>
    <w:rsid w:val="006567C5"/>
    <w:rsid w:val="00674254"/>
    <w:rsid w:val="006D0784"/>
    <w:rsid w:val="00707362"/>
    <w:rsid w:val="00762B0A"/>
    <w:rsid w:val="00766D51"/>
    <w:rsid w:val="00774C92"/>
    <w:rsid w:val="0079724D"/>
    <w:rsid w:val="007A4589"/>
    <w:rsid w:val="008204F1"/>
    <w:rsid w:val="0085213E"/>
    <w:rsid w:val="00854C56"/>
    <w:rsid w:val="00856F1A"/>
    <w:rsid w:val="00870C02"/>
    <w:rsid w:val="0094686F"/>
    <w:rsid w:val="00951134"/>
    <w:rsid w:val="009C4CBD"/>
    <w:rsid w:val="00A101DE"/>
    <w:rsid w:val="00A50667"/>
    <w:rsid w:val="00B038A1"/>
    <w:rsid w:val="00B1036A"/>
    <w:rsid w:val="00B724D7"/>
    <w:rsid w:val="00B9351F"/>
    <w:rsid w:val="00BB0149"/>
    <w:rsid w:val="00BB784B"/>
    <w:rsid w:val="00BD5C9A"/>
    <w:rsid w:val="00BE2698"/>
    <w:rsid w:val="00BE58B8"/>
    <w:rsid w:val="00C60A81"/>
    <w:rsid w:val="00C9552C"/>
    <w:rsid w:val="00CA5E20"/>
    <w:rsid w:val="00CE353A"/>
    <w:rsid w:val="00CE70E1"/>
    <w:rsid w:val="00D4491F"/>
    <w:rsid w:val="00E5400C"/>
    <w:rsid w:val="00E546B9"/>
    <w:rsid w:val="00E9645E"/>
    <w:rsid w:val="00EA157F"/>
    <w:rsid w:val="00EA630F"/>
    <w:rsid w:val="00ED2178"/>
    <w:rsid w:val="00F66E63"/>
    <w:rsid w:val="00FA0D87"/>
    <w:rsid w:val="00FA4025"/>
    <w:rsid w:val="00FE0F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2C"/>
  </w:style>
  <w:style w:type="paragraph" w:styleId="Heading2">
    <w:name w:val="heading 2"/>
    <w:basedOn w:val="Normal"/>
    <w:next w:val="Normal"/>
    <w:link w:val="Heading2Char"/>
    <w:uiPriority w:val="99"/>
    <w:qFormat/>
    <w:rsid w:val="00B724D7"/>
    <w:pPr>
      <w:keepNext/>
      <w:tabs>
        <w:tab w:val="left" w:pos="284"/>
        <w:tab w:val="left" w:pos="567"/>
        <w:tab w:val="left" w:pos="1418"/>
        <w:tab w:val="left" w:pos="5670"/>
        <w:tab w:val="decimal" w:pos="7938"/>
      </w:tabs>
      <w:overflowPunct w:val="0"/>
      <w:autoSpaceDE w:val="0"/>
      <w:autoSpaceDN w:val="0"/>
      <w:adjustRightInd w:val="0"/>
      <w:spacing w:before="120" w:after="120" w:line="240" w:lineRule="auto"/>
      <w:textAlignment w:val="baseline"/>
      <w:outlineLvl w:val="1"/>
    </w:pPr>
    <w:rPr>
      <w:rFonts w:ascii="Verdana" w:eastAsia="Times New Roman" w:hAnsi="Verdana" w:cs="Arial"/>
      <w:b/>
      <w:bCs/>
      <w:sz w:val="20"/>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24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9"/>
    <w:rsid w:val="00B724D7"/>
    <w:rPr>
      <w:rFonts w:ascii="Verdana" w:eastAsia="Times New Roman" w:hAnsi="Verdana" w:cs="Arial"/>
      <w:b/>
      <w:bCs/>
      <w:sz w:val="20"/>
      <w:szCs w:val="28"/>
      <w:lang w:val="en-GB"/>
    </w:rPr>
  </w:style>
  <w:style w:type="paragraph" w:customStyle="1" w:styleId="bullet">
    <w:name w:val="bullet"/>
    <w:aliases w:val="b"/>
    <w:basedOn w:val="Normal"/>
    <w:rsid w:val="00ED2178"/>
    <w:pPr>
      <w:numPr>
        <w:numId w:val="1"/>
      </w:numPr>
      <w:spacing w:after="0" w:line="240" w:lineRule="auto"/>
    </w:pPr>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B038A1"/>
    <w:pPr>
      <w:ind w:left="720"/>
      <w:contextualSpacing/>
    </w:pPr>
  </w:style>
  <w:style w:type="paragraph" w:styleId="BodyTextIndent">
    <w:name w:val="Body Text Indent"/>
    <w:basedOn w:val="Normal"/>
    <w:link w:val="BodyTextIndentChar"/>
    <w:rsid w:val="007A4589"/>
    <w:pPr>
      <w:spacing w:after="0" w:line="280" w:lineRule="atLeast"/>
      <w:ind w:left="709"/>
    </w:pPr>
    <w:rPr>
      <w:rFonts w:ascii="Arial" w:eastAsia="Times New Roman" w:hAnsi="Arial" w:cs="Times New Roman"/>
      <w:sz w:val="20"/>
      <w:szCs w:val="20"/>
      <w:lang w:val="en-GB"/>
    </w:rPr>
  </w:style>
  <w:style w:type="character" w:customStyle="1" w:styleId="BodyTextIndentChar">
    <w:name w:val="Body Text Indent Char"/>
    <w:basedOn w:val="DefaultParagraphFont"/>
    <w:link w:val="BodyTextIndent"/>
    <w:rsid w:val="007A4589"/>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774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C92"/>
    <w:rPr>
      <w:rFonts w:ascii="Tahoma" w:hAnsi="Tahoma" w:cs="Tahoma"/>
      <w:sz w:val="16"/>
      <w:szCs w:val="16"/>
    </w:rPr>
  </w:style>
  <w:style w:type="paragraph" w:styleId="Header">
    <w:name w:val="header"/>
    <w:basedOn w:val="Normal"/>
    <w:link w:val="HeaderChar"/>
    <w:uiPriority w:val="99"/>
    <w:semiHidden/>
    <w:unhideWhenUsed/>
    <w:rsid w:val="005903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9032A"/>
  </w:style>
  <w:style w:type="paragraph" w:styleId="Footer">
    <w:name w:val="footer"/>
    <w:basedOn w:val="Normal"/>
    <w:link w:val="FooterChar"/>
    <w:uiPriority w:val="99"/>
    <w:unhideWhenUsed/>
    <w:rsid w:val="005903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032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Cato</dc:creator>
  <cp:lastModifiedBy>Dr Peter Tobin, CGEIT, PMIITPSA, PMP</cp:lastModifiedBy>
  <cp:revision>9</cp:revision>
  <dcterms:created xsi:type="dcterms:W3CDTF">2014-03-09T15:31:00Z</dcterms:created>
  <dcterms:modified xsi:type="dcterms:W3CDTF">2016-04-21T14:44:00Z</dcterms:modified>
</cp:coreProperties>
</file>