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6DC" w:rsidRPr="004D7264" w:rsidRDefault="00FB00F3" w:rsidP="004D7264">
      <w:pPr>
        <w:jc w:val="center"/>
        <w:rPr>
          <w:b/>
        </w:rPr>
      </w:pPr>
      <w:bookmarkStart w:id="0" w:name="OLE_LINK1"/>
      <w:bookmarkStart w:id="1" w:name="OLE_LINK2"/>
      <w:r>
        <w:rPr>
          <w:b/>
        </w:rPr>
        <w:t xml:space="preserve">POPI Act </w:t>
      </w:r>
      <w:r w:rsidR="00272DAC" w:rsidRPr="004D7264">
        <w:rPr>
          <w:b/>
        </w:rPr>
        <w:t xml:space="preserve">Security Compromise Management </w:t>
      </w:r>
      <w:r w:rsidR="008629CF">
        <w:rPr>
          <w:b/>
        </w:rPr>
        <w:t>Guidelines</w:t>
      </w:r>
    </w:p>
    <w:bookmarkEnd w:id="0"/>
    <w:bookmarkEnd w:id="1"/>
    <w:p w:rsidR="00272DAC" w:rsidRDefault="00272DAC"/>
    <w:p w:rsidR="00272DAC" w:rsidRPr="004D7264" w:rsidRDefault="00272DAC">
      <w:pPr>
        <w:rPr>
          <w:b/>
        </w:rPr>
      </w:pPr>
      <w:r w:rsidRPr="004D7264">
        <w:rPr>
          <w:b/>
        </w:rPr>
        <w:t>Purpose</w:t>
      </w:r>
    </w:p>
    <w:p w:rsidR="00272DAC" w:rsidRDefault="00272DAC"/>
    <w:p w:rsidR="009B31D9" w:rsidRDefault="00272DAC">
      <w:r>
        <w:t>The purpose of this document</w:t>
      </w:r>
      <w:r w:rsidR="009B31D9">
        <w:t xml:space="preserve"> is to support a high level of assurance of compliance with the POPI Act, condition 7, section 22, “Notification of Security Compromises”</w:t>
      </w:r>
      <w:r w:rsidR="00C3175F">
        <w:t xml:space="preserve">. This document should be used in conjunction with other relevant: documented policies and procedures; assessments; audits; best practice guidance; associated with meeting the requirements of condition 7 of the POPI Act. </w:t>
      </w:r>
    </w:p>
    <w:p w:rsidR="009B31D9" w:rsidRDefault="009B31D9"/>
    <w:p w:rsidR="009B31D9" w:rsidRDefault="009B31D9">
      <w:pPr>
        <w:rPr>
          <w:b/>
        </w:rPr>
      </w:pPr>
      <w:r w:rsidRPr="004D7264">
        <w:rPr>
          <w:b/>
        </w:rPr>
        <w:t>Identification of a Security Compromise</w:t>
      </w:r>
    </w:p>
    <w:p w:rsidR="00C34FC4" w:rsidRDefault="00C34FC4">
      <w:pPr>
        <w:rPr>
          <w:b/>
        </w:rPr>
      </w:pPr>
    </w:p>
    <w:p w:rsidR="00C34FC4" w:rsidRPr="00C34FC4" w:rsidRDefault="00C34FC4">
      <w:r w:rsidRPr="00C34FC4">
        <w:t>The first step in Security Compromise management is the identification that an incident has taken place. This requires a review of the following:</w:t>
      </w:r>
    </w:p>
    <w:p w:rsidR="009B31D9" w:rsidRDefault="009B31D9"/>
    <w:p w:rsidR="009B31D9" w:rsidRDefault="009B31D9" w:rsidP="009B31D9">
      <w:pPr>
        <w:pStyle w:val="ListParagraph"/>
        <w:numPr>
          <w:ilvl w:val="0"/>
          <w:numId w:val="47"/>
        </w:numPr>
      </w:pPr>
      <w:r>
        <w:t>What policies and procedures does the organisation have in place to identify and manage the risk of Security Compromises taking place?</w:t>
      </w:r>
    </w:p>
    <w:p w:rsidR="00C34FC4" w:rsidRDefault="00C34FC4" w:rsidP="00C34FC4">
      <w:pPr>
        <w:pStyle w:val="ListParagraph"/>
        <w:numPr>
          <w:ilvl w:val="1"/>
          <w:numId w:val="47"/>
        </w:numPr>
      </w:pPr>
      <w:r>
        <w:t>Those policies and procedures should be followed</w:t>
      </w:r>
    </w:p>
    <w:p w:rsidR="009B31D9" w:rsidRDefault="009B31D9" w:rsidP="009B31D9">
      <w:pPr>
        <w:pStyle w:val="ListParagraph"/>
        <w:numPr>
          <w:ilvl w:val="0"/>
          <w:numId w:val="47"/>
        </w:numPr>
      </w:pPr>
      <w:r>
        <w:t>What are the conditions that must be satisfied so that section 22(1) can be invoked (reasonable grounds to believe a security compromise has taken place)?</w:t>
      </w:r>
    </w:p>
    <w:p w:rsidR="00C34FC4" w:rsidRDefault="00C34FC4" w:rsidP="00C34FC4">
      <w:pPr>
        <w:pStyle w:val="ListParagraph"/>
        <w:numPr>
          <w:ilvl w:val="1"/>
          <w:numId w:val="47"/>
        </w:numPr>
      </w:pPr>
      <w:r>
        <w:t>Document the reasonable grounds</w:t>
      </w:r>
    </w:p>
    <w:p w:rsidR="009B31D9" w:rsidRDefault="009B31D9" w:rsidP="009B31D9">
      <w:pPr>
        <w:pStyle w:val="ListParagraph"/>
        <w:numPr>
          <w:ilvl w:val="0"/>
          <w:numId w:val="47"/>
        </w:numPr>
      </w:pPr>
      <w:r>
        <w:t>In identifying the Security Compromise can these questions be answered:</w:t>
      </w:r>
    </w:p>
    <w:p w:rsidR="009B31D9" w:rsidRDefault="009B31D9" w:rsidP="009B31D9">
      <w:pPr>
        <w:pStyle w:val="ListParagraph"/>
        <w:numPr>
          <w:ilvl w:val="1"/>
          <w:numId w:val="47"/>
        </w:numPr>
      </w:pPr>
      <w:r>
        <w:t>When did the Security Compromise take place?</w:t>
      </w:r>
    </w:p>
    <w:p w:rsidR="009B31D9" w:rsidRDefault="009B31D9" w:rsidP="009B31D9">
      <w:pPr>
        <w:pStyle w:val="ListParagraph"/>
        <w:numPr>
          <w:ilvl w:val="1"/>
          <w:numId w:val="47"/>
        </w:numPr>
      </w:pPr>
      <w:r>
        <w:t>Which data subjects have been compromised?</w:t>
      </w:r>
    </w:p>
    <w:p w:rsidR="009B31D9" w:rsidRDefault="00F41777" w:rsidP="009B31D9">
      <w:pPr>
        <w:pStyle w:val="ListParagraph"/>
        <w:numPr>
          <w:ilvl w:val="1"/>
          <w:numId w:val="47"/>
        </w:numPr>
      </w:pPr>
      <w:r>
        <w:t>What were the circumstances of the Security Compromise (accidental, malicious, theft of papers or electronic storage, network breach etc)</w:t>
      </w:r>
    </w:p>
    <w:p w:rsidR="00C34FC4" w:rsidRDefault="00C34FC4" w:rsidP="00C34FC4">
      <w:pPr>
        <w:pStyle w:val="ListParagraph"/>
        <w:numPr>
          <w:ilvl w:val="0"/>
          <w:numId w:val="47"/>
        </w:numPr>
      </w:pPr>
      <w:r>
        <w:t xml:space="preserve">Once the authorised person acting for the Responsible Party is satisfied that a Security Compromise has taken place, then the Notification actions below should follow. </w:t>
      </w:r>
    </w:p>
    <w:p w:rsidR="00F41777" w:rsidRDefault="00F41777" w:rsidP="00F41777"/>
    <w:p w:rsidR="00F41777" w:rsidRPr="004D7264" w:rsidRDefault="00F41777" w:rsidP="00F41777">
      <w:pPr>
        <w:rPr>
          <w:b/>
        </w:rPr>
      </w:pPr>
      <w:r w:rsidRPr="004D7264">
        <w:rPr>
          <w:b/>
        </w:rPr>
        <w:t>Notification of the Security Compromise</w:t>
      </w:r>
    </w:p>
    <w:p w:rsidR="00F41777" w:rsidRDefault="00F41777" w:rsidP="00F41777"/>
    <w:p w:rsidR="00F41777" w:rsidRDefault="00F41777" w:rsidP="00F41777">
      <w:r>
        <w:t>In order to comply with section 22 of the POPI Act certain actions must be taken by the Responsible Party:</w:t>
      </w:r>
    </w:p>
    <w:p w:rsidR="00F41777" w:rsidRDefault="00F41777" w:rsidP="00F41777"/>
    <w:p w:rsidR="00F41777" w:rsidRDefault="00F41777" w:rsidP="00F41777">
      <w:pPr>
        <w:pStyle w:val="ListParagraph"/>
        <w:numPr>
          <w:ilvl w:val="0"/>
          <w:numId w:val="48"/>
        </w:numPr>
      </w:pPr>
      <w:r>
        <w:t xml:space="preserve">Notification to the Regulator – is this </w:t>
      </w:r>
      <w:r w:rsidR="00350F03">
        <w:t>required for this Security Compromise? If not, why not?</w:t>
      </w:r>
    </w:p>
    <w:p w:rsidR="00350F03" w:rsidRDefault="00350F03" w:rsidP="00350F03">
      <w:pPr>
        <w:pStyle w:val="ListParagraph"/>
        <w:numPr>
          <w:ilvl w:val="1"/>
          <w:numId w:val="48"/>
        </w:numPr>
      </w:pPr>
      <w:r>
        <w:t>Who will notify the Regulator?</w:t>
      </w:r>
    </w:p>
    <w:p w:rsidR="00350F03" w:rsidRDefault="00350F03" w:rsidP="00350F03">
      <w:pPr>
        <w:pStyle w:val="ListParagraph"/>
        <w:numPr>
          <w:ilvl w:val="1"/>
          <w:numId w:val="48"/>
        </w:numPr>
      </w:pPr>
      <w:r>
        <w:t>How will the Regulator be notified?</w:t>
      </w:r>
    </w:p>
    <w:p w:rsidR="00350F03" w:rsidRDefault="00F90B18" w:rsidP="00350F03">
      <w:pPr>
        <w:pStyle w:val="ListParagraph"/>
        <w:numPr>
          <w:ilvl w:val="1"/>
          <w:numId w:val="48"/>
        </w:numPr>
      </w:pPr>
      <w:r>
        <w:t>When will the R</w:t>
      </w:r>
      <w:r w:rsidR="00350F03">
        <w:t>egulator be notified?</w:t>
      </w:r>
    </w:p>
    <w:p w:rsidR="00F90B18" w:rsidRDefault="00F90B18" w:rsidP="00350F03">
      <w:pPr>
        <w:pStyle w:val="ListParagraph"/>
        <w:numPr>
          <w:ilvl w:val="1"/>
          <w:numId w:val="48"/>
        </w:numPr>
      </w:pPr>
      <w:r>
        <w:t xml:space="preserve">Where will the tracking of the incident </w:t>
      </w:r>
      <w:proofErr w:type="gramStart"/>
      <w:r>
        <w:t>be</w:t>
      </w:r>
      <w:proofErr w:type="gramEnd"/>
      <w:r>
        <w:t xml:space="preserve"> recorded?</w:t>
      </w:r>
      <w:r w:rsidR="004D7264">
        <w:br/>
      </w:r>
    </w:p>
    <w:p w:rsidR="00350F03" w:rsidRDefault="00F90B18" w:rsidP="00F41777">
      <w:pPr>
        <w:pStyle w:val="ListParagraph"/>
        <w:numPr>
          <w:ilvl w:val="0"/>
          <w:numId w:val="48"/>
        </w:numPr>
      </w:pPr>
      <w:r>
        <w:t>Notification to the Data Subject(s)</w:t>
      </w:r>
    </w:p>
    <w:p w:rsidR="00F90B18" w:rsidRDefault="00F90B18" w:rsidP="00F90B18">
      <w:pPr>
        <w:pStyle w:val="ListParagraph"/>
        <w:numPr>
          <w:ilvl w:val="1"/>
          <w:numId w:val="48"/>
        </w:numPr>
      </w:pPr>
      <w:r>
        <w:t>Who will notify the Data Subjects?</w:t>
      </w:r>
    </w:p>
    <w:p w:rsidR="00F90B18" w:rsidRDefault="00F90B18" w:rsidP="00F90B18">
      <w:pPr>
        <w:pStyle w:val="ListParagraph"/>
        <w:numPr>
          <w:ilvl w:val="1"/>
          <w:numId w:val="48"/>
        </w:numPr>
      </w:pPr>
      <w:r>
        <w:t>How will the Data Subjects be notified?</w:t>
      </w:r>
    </w:p>
    <w:p w:rsidR="00F90B18" w:rsidRDefault="00F90B18" w:rsidP="00F90B18">
      <w:pPr>
        <w:pStyle w:val="ListParagraph"/>
        <w:numPr>
          <w:ilvl w:val="2"/>
          <w:numId w:val="48"/>
        </w:numPr>
      </w:pPr>
      <w:r>
        <w:t>Which approved method will be used?</w:t>
      </w:r>
    </w:p>
    <w:p w:rsidR="00F90B18" w:rsidRDefault="00F90B18" w:rsidP="00F90B18">
      <w:pPr>
        <w:pStyle w:val="ListParagraph"/>
        <w:numPr>
          <w:ilvl w:val="3"/>
          <w:numId w:val="48"/>
        </w:numPr>
      </w:pPr>
      <w:r>
        <w:t>By post</w:t>
      </w:r>
    </w:p>
    <w:p w:rsidR="00F90B18" w:rsidRDefault="00F90B18" w:rsidP="00F90B18">
      <w:pPr>
        <w:pStyle w:val="ListParagraph"/>
        <w:numPr>
          <w:ilvl w:val="3"/>
          <w:numId w:val="48"/>
        </w:numPr>
      </w:pPr>
      <w:r>
        <w:t>By email</w:t>
      </w:r>
    </w:p>
    <w:p w:rsidR="00F90B18" w:rsidRDefault="00F90B18" w:rsidP="00F90B18">
      <w:pPr>
        <w:pStyle w:val="ListParagraph"/>
        <w:numPr>
          <w:ilvl w:val="3"/>
          <w:numId w:val="48"/>
        </w:numPr>
      </w:pPr>
      <w:r>
        <w:t>On he Responsible Party website</w:t>
      </w:r>
    </w:p>
    <w:p w:rsidR="00F90B18" w:rsidRDefault="00F90B18" w:rsidP="00F90B18">
      <w:pPr>
        <w:pStyle w:val="ListParagraph"/>
        <w:numPr>
          <w:ilvl w:val="3"/>
          <w:numId w:val="48"/>
        </w:numPr>
      </w:pPr>
      <w:r>
        <w:t>In the news media</w:t>
      </w:r>
    </w:p>
    <w:p w:rsidR="00F90B18" w:rsidRDefault="00F90B18" w:rsidP="00F90B18">
      <w:pPr>
        <w:pStyle w:val="ListParagraph"/>
        <w:numPr>
          <w:ilvl w:val="3"/>
          <w:numId w:val="48"/>
        </w:numPr>
      </w:pPr>
      <w:r>
        <w:t xml:space="preserve">As directed by the </w:t>
      </w:r>
      <w:r w:rsidR="0018525B">
        <w:t>R</w:t>
      </w:r>
      <w:r>
        <w:t>egulator</w:t>
      </w:r>
    </w:p>
    <w:p w:rsidR="00F90B18" w:rsidRDefault="00F90B18" w:rsidP="00F90B18">
      <w:pPr>
        <w:pStyle w:val="ListParagraph"/>
        <w:numPr>
          <w:ilvl w:val="1"/>
          <w:numId w:val="48"/>
        </w:numPr>
      </w:pPr>
      <w:r>
        <w:t>When will the Data Subjects be notified?</w:t>
      </w:r>
    </w:p>
    <w:p w:rsidR="0018525B" w:rsidRDefault="0018525B" w:rsidP="00F90B18">
      <w:pPr>
        <w:pStyle w:val="ListParagraph"/>
        <w:numPr>
          <w:ilvl w:val="1"/>
          <w:numId w:val="48"/>
        </w:numPr>
      </w:pPr>
      <w:r>
        <w:t>What will be communicated? Must include at least (section 22(5))</w:t>
      </w:r>
    </w:p>
    <w:p w:rsidR="0018525B" w:rsidRDefault="0018525B" w:rsidP="0018525B">
      <w:pPr>
        <w:pStyle w:val="ListParagraph"/>
        <w:numPr>
          <w:ilvl w:val="2"/>
          <w:numId w:val="48"/>
        </w:numPr>
      </w:pPr>
      <w:r>
        <w:lastRenderedPageBreak/>
        <w:t xml:space="preserve">Possible consequences </w:t>
      </w:r>
      <w:proofErr w:type="spellStart"/>
      <w:r>
        <w:t>ot</w:t>
      </w:r>
      <w:proofErr w:type="spellEnd"/>
      <w:r>
        <w:t xml:space="preserve"> the Data Subject</w:t>
      </w:r>
    </w:p>
    <w:p w:rsidR="0018525B" w:rsidRDefault="0018525B" w:rsidP="0018525B">
      <w:pPr>
        <w:pStyle w:val="ListParagraph"/>
        <w:numPr>
          <w:ilvl w:val="2"/>
          <w:numId w:val="48"/>
        </w:numPr>
      </w:pPr>
      <w:r>
        <w:t>Measures Responsible Party intends to take</w:t>
      </w:r>
    </w:p>
    <w:p w:rsidR="004D7264" w:rsidRDefault="004D7264" w:rsidP="0018525B">
      <w:pPr>
        <w:pStyle w:val="ListParagraph"/>
        <w:numPr>
          <w:ilvl w:val="2"/>
          <w:numId w:val="48"/>
        </w:numPr>
      </w:pPr>
      <w:r>
        <w:t>Recommendation for mitigation by the Data Subject</w:t>
      </w:r>
    </w:p>
    <w:p w:rsidR="004D7264" w:rsidRDefault="004D7264" w:rsidP="0018525B">
      <w:pPr>
        <w:pStyle w:val="ListParagraph"/>
        <w:numPr>
          <w:ilvl w:val="2"/>
          <w:numId w:val="48"/>
        </w:numPr>
      </w:pPr>
      <w:r>
        <w:t>If known, identity of the unauthorised person who may have accessed or acquired the personal information</w:t>
      </w:r>
    </w:p>
    <w:p w:rsidR="00F90B18" w:rsidRDefault="00F90B18" w:rsidP="004D7264"/>
    <w:p w:rsidR="004D7264" w:rsidRPr="00ED7D05" w:rsidRDefault="004D7264" w:rsidP="004D7264">
      <w:pPr>
        <w:rPr>
          <w:b/>
        </w:rPr>
      </w:pPr>
      <w:r w:rsidRPr="00ED7D05">
        <w:rPr>
          <w:b/>
        </w:rPr>
        <w:t>Lessons learned review</w:t>
      </w:r>
    </w:p>
    <w:p w:rsidR="004D7264" w:rsidRDefault="004D7264" w:rsidP="004D7264"/>
    <w:p w:rsidR="00272DAC" w:rsidRDefault="004D7264" w:rsidP="004D7264">
      <w:r>
        <w:t>It is recommended that after any Security Compromise incident that the Responsible Party should conduct a review which has the following objectives:</w:t>
      </w:r>
    </w:p>
    <w:p w:rsidR="004D7264" w:rsidRDefault="004D7264" w:rsidP="004D7264"/>
    <w:p w:rsidR="004D7264" w:rsidRDefault="004D7264" w:rsidP="004D7264">
      <w:pPr>
        <w:pStyle w:val="ListParagraph"/>
        <w:numPr>
          <w:ilvl w:val="0"/>
          <w:numId w:val="49"/>
        </w:numPr>
      </w:pPr>
      <w:r>
        <w:t>Complete a root cause analysis: why and how did this incident happen?</w:t>
      </w:r>
    </w:p>
    <w:p w:rsidR="004D7264" w:rsidRDefault="004D7264" w:rsidP="004D7264">
      <w:pPr>
        <w:pStyle w:val="ListParagraph"/>
        <w:numPr>
          <w:ilvl w:val="0"/>
          <w:numId w:val="49"/>
        </w:numPr>
      </w:pPr>
      <w:r>
        <w:t>Identify actions to minimise a re-occurrence of a similar or related incident. These could include but are not limited to:</w:t>
      </w:r>
    </w:p>
    <w:p w:rsidR="004D7264" w:rsidRDefault="004D7264" w:rsidP="004D7264">
      <w:pPr>
        <w:pStyle w:val="ListParagraph"/>
        <w:numPr>
          <w:ilvl w:val="1"/>
          <w:numId w:val="49"/>
        </w:numPr>
      </w:pPr>
      <w:r>
        <w:t>Changes to policies and procedures</w:t>
      </w:r>
    </w:p>
    <w:p w:rsidR="004D7264" w:rsidRDefault="004D7264" w:rsidP="004D7264">
      <w:pPr>
        <w:pStyle w:val="ListParagraph"/>
        <w:numPr>
          <w:ilvl w:val="1"/>
          <w:numId w:val="49"/>
        </w:numPr>
      </w:pPr>
      <w:r>
        <w:t>Changes to security technical measures</w:t>
      </w:r>
      <w:r w:rsidR="00ED7D05">
        <w:t xml:space="preserve"> (e.g. IT related)</w:t>
      </w:r>
    </w:p>
    <w:p w:rsidR="00ED7D05" w:rsidRDefault="00ED7D05" w:rsidP="004D7264">
      <w:pPr>
        <w:pStyle w:val="ListParagraph"/>
        <w:numPr>
          <w:ilvl w:val="1"/>
          <w:numId w:val="49"/>
        </w:numPr>
      </w:pPr>
      <w:r>
        <w:t xml:space="preserve">Changes to physical security measures </w:t>
      </w:r>
    </w:p>
    <w:p w:rsidR="004D7264" w:rsidRDefault="004D7264" w:rsidP="004D7264">
      <w:pPr>
        <w:pStyle w:val="ListParagraph"/>
        <w:numPr>
          <w:ilvl w:val="1"/>
          <w:numId w:val="49"/>
        </w:numPr>
      </w:pPr>
      <w:r>
        <w:t xml:space="preserve">Changes to staff training  </w:t>
      </w:r>
    </w:p>
    <w:p w:rsidR="00ED7D05" w:rsidRDefault="00ED7D05" w:rsidP="00ED7D05"/>
    <w:p w:rsidR="00B568DD" w:rsidRDefault="00B568DD" w:rsidP="00ED7D05">
      <w:pPr>
        <w:rPr>
          <w:b/>
        </w:rPr>
      </w:pPr>
      <w:r>
        <w:rPr>
          <w:b/>
        </w:rPr>
        <w:t xml:space="preserve">Related documentation </w:t>
      </w:r>
    </w:p>
    <w:p w:rsidR="00B568DD" w:rsidRDefault="00B568DD" w:rsidP="00ED7D05">
      <w:pPr>
        <w:rPr>
          <w:b/>
        </w:rPr>
      </w:pPr>
    </w:p>
    <w:p w:rsidR="00B568DD" w:rsidRPr="00B568DD" w:rsidRDefault="00B568DD" w:rsidP="00ED7D05">
      <w:r w:rsidRPr="00B568DD">
        <w:t>[</w:t>
      </w:r>
      <w:proofErr w:type="gramStart"/>
      <w:r w:rsidRPr="00B568DD">
        <w:t>specify</w:t>
      </w:r>
      <w:proofErr w:type="gramEnd"/>
      <w:r w:rsidRPr="00B568DD">
        <w:t xml:space="preserve"> here any related documentation that exists, e.g. policies and procedures]</w:t>
      </w:r>
    </w:p>
    <w:p w:rsidR="00B568DD" w:rsidRDefault="00B568DD" w:rsidP="00ED7D05">
      <w:pPr>
        <w:rPr>
          <w:b/>
        </w:rPr>
      </w:pPr>
    </w:p>
    <w:p w:rsidR="00ED7D05" w:rsidRPr="00ED7D05" w:rsidRDefault="00ED7D05" w:rsidP="00ED7D05">
      <w:pPr>
        <w:rPr>
          <w:b/>
        </w:rPr>
      </w:pPr>
      <w:r w:rsidRPr="00ED7D05">
        <w:rPr>
          <w:b/>
        </w:rPr>
        <w:t>Related guidance</w:t>
      </w:r>
    </w:p>
    <w:p w:rsidR="00ED7D05" w:rsidRDefault="00ED7D05" w:rsidP="00ED7D05"/>
    <w:p w:rsidR="00ED7D05" w:rsidRDefault="00ED7D05" w:rsidP="00ED7D05">
      <w:r>
        <w:t>It is recommended that the guidance provided in the IACT-Africa POPI Compliance Toolkit folder Education and Training, sub-folder Security Compromise Management, is reviewed for use in conjunction with this document.</w:t>
      </w:r>
    </w:p>
    <w:p w:rsidR="00B6339E" w:rsidRDefault="00B6339E" w:rsidP="00ED7D05"/>
    <w:p w:rsidR="00B6339E" w:rsidRDefault="00B6339E" w:rsidP="00ED7D05"/>
    <w:p w:rsidR="00B6339E" w:rsidRDefault="00B6339E" w:rsidP="00ED7D05"/>
    <w:sectPr w:rsidR="00B6339E" w:rsidSect="00C34FC4">
      <w:footerReference w:type="default" r:id="rId7"/>
      <w:pgSz w:w="11906" w:h="16838" w:code="9"/>
      <w:pgMar w:top="1440" w:right="1440" w:bottom="1440" w:left="1440" w:header="720" w:footer="61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4BF0" w:rsidRDefault="001C4BF0" w:rsidP="00C34FC4">
      <w:r>
        <w:separator/>
      </w:r>
    </w:p>
  </w:endnote>
  <w:endnote w:type="continuationSeparator" w:id="0">
    <w:p w:rsidR="001C4BF0" w:rsidRDefault="001C4BF0" w:rsidP="00C34F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4FC4" w:rsidRDefault="00C34FC4">
    <w:pPr>
      <w:pStyle w:val="Footer"/>
      <w:pBdr>
        <w:top w:val="thinThickSmallGap" w:sz="24" w:space="1" w:color="823B0B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Copyright © Mr John Cato &amp; Dr Peter Tobin, 2016. All rights reserved</w:t>
    </w:r>
    <w:r>
      <w:rPr>
        <w:rFonts w:asciiTheme="majorHAnsi" w:hAnsiTheme="majorHAnsi"/>
      </w:rPr>
      <w:tab/>
      <w:t xml:space="preserve">Page </w:t>
    </w:r>
    <w:fldSimple w:instr=" PAGE   \* MERGEFORMAT ">
      <w:r w:rsidR="008629CF" w:rsidRPr="008629CF">
        <w:rPr>
          <w:rFonts w:asciiTheme="majorHAnsi" w:hAnsiTheme="majorHAnsi"/>
          <w:noProof/>
        </w:rPr>
        <w:t>1</w:t>
      </w:r>
    </w:fldSimple>
  </w:p>
  <w:p w:rsidR="00C34FC4" w:rsidRDefault="00C34FC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4BF0" w:rsidRDefault="001C4BF0" w:rsidP="00C34FC4">
      <w:r>
        <w:separator/>
      </w:r>
    </w:p>
  </w:footnote>
  <w:footnote w:type="continuationSeparator" w:id="0">
    <w:p w:rsidR="001C4BF0" w:rsidRDefault="001C4BF0" w:rsidP="00C34F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BA000D"/>
    <w:multiLevelType w:val="hybridMultilevel"/>
    <w:tmpl w:val="5DB0C7A8"/>
    <w:lvl w:ilvl="0" w:tplc="0409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1">
    <w:nsid w:val="527D4448"/>
    <w:multiLevelType w:val="hybridMultilevel"/>
    <w:tmpl w:val="906625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8E057B"/>
    <w:multiLevelType w:val="hybridMultilevel"/>
    <w:tmpl w:val="DA0A3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735E48"/>
    <w:multiLevelType w:val="multilevel"/>
    <w:tmpl w:val="731EAC5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/>
        <w:i w:val="0"/>
        <w:sz w:val="24"/>
        <w:szCs w:val="24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ascii="Times New Roman" w:hAnsi="Times New Roman" w:hint="default"/>
        <w:b/>
        <w:i w:val="0"/>
        <w:sz w:val="24"/>
        <w:szCs w:val="24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3"/>
  </w:num>
  <w:num w:numId="27">
    <w:abstractNumId w:val="3"/>
  </w:num>
  <w:num w:numId="28">
    <w:abstractNumId w:val="3"/>
  </w:num>
  <w:num w:numId="29">
    <w:abstractNumId w:val="3"/>
  </w:num>
  <w:num w:numId="30">
    <w:abstractNumId w:val="3"/>
  </w:num>
  <w:num w:numId="31">
    <w:abstractNumId w:val="3"/>
  </w:num>
  <w:num w:numId="32">
    <w:abstractNumId w:val="3"/>
  </w:num>
  <w:num w:numId="33">
    <w:abstractNumId w:val="3"/>
  </w:num>
  <w:num w:numId="34">
    <w:abstractNumId w:val="3"/>
  </w:num>
  <w:num w:numId="35">
    <w:abstractNumId w:val="3"/>
  </w:num>
  <w:num w:numId="36">
    <w:abstractNumId w:val="3"/>
  </w:num>
  <w:num w:numId="37">
    <w:abstractNumId w:val="3"/>
  </w:num>
  <w:num w:numId="38">
    <w:abstractNumId w:val="3"/>
  </w:num>
  <w:num w:numId="39">
    <w:abstractNumId w:val="3"/>
  </w:num>
  <w:num w:numId="40">
    <w:abstractNumId w:val="3"/>
  </w:num>
  <w:num w:numId="41">
    <w:abstractNumId w:val="3"/>
  </w:num>
  <w:num w:numId="42">
    <w:abstractNumId w:val="3"/>
  </w:num>
  <w:num w:numId="43">
    <w:abstractNumId w:val="3"/>
  </w:num>
  <w:num w:numId="44">
    <w:abstractNumId w:val="3"/>
  </w:num>
  <w:num w:numId="45">
    <w:abstractNumId w:val="3"/>
  </w:num>
  <w:num w:numId="46">
    <w:abstractNumId w:val="3"/>
  </w:num>
  <w:num w:numId="47">
    <w:abstractNumId w:val="0"/>
  </w:num>
  <w:num w:numId="48">
    <w:abstractNumId w:val="2"/>
  </w:num>
  <w:num w:numId="4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1021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2DAC"/>
    <w:rsid w:val="00045ACA"/>
    <w:rsid w:val="00055E8A"/>
    <w:rsid w:val="00062727"/>
    <w:rsid w:val="000A082D"/>
    <w:rsid w:val="000B39CA"/>
    <w:rsid w:val="000B674B"/>
    <w:rsid w:val="000D01C1"/>
    <w:rsid w:val="000D1354"/>
    <w:rsid w:val="000D53C9"/>
    <w:rsid w:val="000E698E"/>
    <w:rsid w:val="00157A06"/>
    <w:rsid w:val="0018525B"/>
    <w:rsid w:val="001966DC"/>
    <w:rsid w:val="00197C23"/>
    <w:rsid w:val="001A192C"/>
    <w:rsid w:val="001C4BF0"/>
    <w:rsid w:val="00235C26"/>
    <w:rsid w:val="00272DAC"/>
    <w:rsid w:val="0029783C"/>
    <w:rsid w:val="002A7305"/>
    <w:rsid w:val="002F34C3"/>
    <w:rsid w:val="00350F03"/>
    <w:rsid w:val="00373239"/>
    <w:rsid w:val="00382C24"/>
    <w:rsid w:val="00390382"/>
    <w:rsid w:val="00402DC4"/>
    <w:rsid w:val="00433F01"/>
    <w:rsid w:val="00447F1C"/>
    <w:rsid w:val="004B226D"/>
    <w:rsid w:val="004D04AF"/>
    <w:rsid w:val="004D7264"/>
    <w:rsid w:val="005D74AD"/>
    <w:rsid w:val="0061034C"/>
    <w:rsid w:val="006B0983"/>
    <w:rsid w:val="006C4549"/>
    <w:rsid w:val="006D0582"/>
    <w:rsid w:val="0071385C"/>
    <w:rsid w:val="00725B98"/>
    <w:rsid w:val="00737F3C"/>
    <w:rsid w:val="007E6366"/>
    <w:rsid w:val="00833017"/>
    <w:rsid w:val="00841E6C"/>
    <w:rsid w:val="00857AF2"/>
    <w:rsid w:val="008629CF"/>
    <w:rsid w:val="00875E6A"/>
    <w:rsid w:val="008A4928"/>
    <w:rsid w:val="008E0221"/>
    <w:rsid w:val="008E0EED"/>
    <w:rsid w:val="008F1DA6"/>
    <w:rsid w:val="008F3C75"/>
    <w:rsid w:val="00916229"/>
    <w:rsid w:val="00931F86"/>
    <w:rsid w:val="00941AD2"/>
    <w:rsid w:val="0095168F"/>
    <w:rsid w:val="009558FA"/>
    <w:rsid w:val="0098227E"/>
    <w:rsid w:val="009B31D9"/>
    <w:rsid w:val="009E111A"/>
    <w:rsid w:val="009F5930"/>
    <w:rsid w:val="00A11BF5"/>
    <w:rsid w:val="00A7275C"/>
    <w:rsid w:val="00AB2B99"/>
    <w:rsid w:val="00B50465"/>
    <w:rsid w:val="00B568DD"/>
    <w:rsid w:val="00B6339E"/>
    <w:rsid w:val="00B81B5F"/>
    <w:rsid w:val="00BF767B"/>
    <w:rsid w:val="00C03585"/>
    <w:rsid w:val="00C3175F"/>
    <w:rsid w:val="00C34FC4"/>
    <w:rsid w:val="00C4182C"/>
    <w:rsid w:val="00C425A0"/>
    <w:rsid w:val="00C74E5C"/>
    <w:rsid w:val="00C8406E"/>
    <w:rsid w:val="00C909D2"/>
    <w:rsid w:val="00CE13AB"/>
    <w:rsid w:val="00D139F8"/>
    <w:rsid w:val="00DE31F2"/>
    <w:rsid w:val="00E70F20"/>
    <w:rsid w:val="00E925DB"/>
    <w:rsid w:val="00EC6AD2"/>
    <w:rsid w:val="00ED7D05"/>
    <w:rsid w:val="00F05CA2"/>
    <w:rsid w:val="00F167F8"/>
    <w:rsid w:val="00F26C6A"/>
    <w:rsid w:val="00F33C49"/>
    <w:rsid w:val="00F41777"/>
    <w:rsid w:val="00F73FD4"/>
    <w:rsid w:val="00F90B18"/>
    <w:rsid w:val="00FA5CFE"/>
    <w:rsid w:val="00FB00F3"/>
    <w:rsid w:val="00FE0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Arial"/>
        <w:b/>
        <w:bCs/>
        <w:iCs/>
        <w:sz w:val="22"/>
        <w:szCs w:val="24"/>
        <w:lang w:val="en-ZA" w:eastAsia="en-US" w:bidi="ar-SA"/>
      </w:rPr>
    </w:rPrDefault>
    <w:pPrDefault>
      <w:pPr>
        <w:spacing w:after="60"/>
        <w:ind w:left="576" w:hanging="57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01C1"/>
    <w:pPr>
      <w:spacing w:after="0"/>
      <w:ind w:left="0" w:firstLine="0"/>
    </w:pPr>
    <w:rPr>
      <w:rFonts w:asciiTheme="minorHAnsi" w:hAnsiTheme="minorHAnsi" w:cstheme="minorBidi"/>
      <w:b w:val="0"/>
      <w:bCs w:val="0"/>
      <w:iCs w:val="0"/>
      <w:lang w:val="en-GB"/>
    </w:rPr>
  </w:style>
  <w:style w:type="paragraph" w:styleId="Heading1">
    <w:name w:val="heading 1"/>
    <w:basedOn w:val="Normal"/>
    <w:next w:val="Normal"/>
    <w:link w:val="Heading1Char"/>
    <w:qFormat/>
    <w:rsid w:val="00C425A0"/>
    <w:pPr>
      <w:numPr>
        <w:numId w:val="46"/>
      </w:numPr>
      <w:spacing w:before="240" w:after="60"/>
      <w:outlineLvl w:val="0"/>
    </w:pPr>
    <w:rPr>
      <w:rFonts w:eastAsia="Times New Roman" w:cs="Arial"/>
      <w:b/>
      <w:bCs/>
      <w:iCs/>
      <w:kern w:val="32"/>
      <w:szCs w:val="32"/>
      <w:lang w:val="en-ZA"/>
    </w:rPr>
  </w:style>
  <w:style w:type="paragraph" w:styleId="Heading2">
    <w:name w:val="heading 2"/>
    <w:basedOn w:val="Normal"/>
    <w:next w:val="Normal"/>
    <w:link w:val="Heading2Char"/>
    <w:qFormat/>
    <w:rsid w:val="00C425A0"/>
    <w:pPr>
      <w:numPr>
        <w:ilvl w:val="1"/>
        <w:numId w:val="46"/>
      </w:numPr>
      <w:spacing w:before="240" w:after="60" w:line="480" w:lineRule="auto"/>
      <w:outlineLvl w:val="1"/>
    </w:pPr>
    <w:rPr>
      <w:rFonts w:eastAsia="Times New Roman" w:cs="Arial"/>
      <w:b/>
      <w:bCs/>
      <w:iCs/>
      <w:szCs w:val="28"/>
      <w:lang w:val="en-ZA"/>
    </w:rPr>
  </w:style>
  <w:style w:type="paragraph" w:styleId="Heading3">
    <w:name w:val="heading 3"/>
    <w:basedOn w:val="Normal"/>
    <w:next w:val="Normal"/>
    <w:link w:val="Heading3Char"/>
    <w:qFormat/>
    <w:rsid w:val="00C425A0"/>
    <w:pPr>
      <w:keepNext/>
      <w:numPr>
        <w:ilvl w:val="2"/>
        <w:numId w:val="46"/>
      </w:numPr>
      <w:spacing w:before="240" w:after="60"/>
      <w:outlineLvl w:val="2"/>
    </w:pPr>
    <w:rPr>
      <w:rFonts w:eastAsia="Times New Roman" w:cs="Arial"/>
      <w:b/>
      <w:bCs/>
      <w:iCs/>
      <w:szCs w:val="26"/>
      <w:lang w:val="en-ZA"/>
    </w:rPr>
  </w:style>
  <w:style w:type="paragraph" w:styleId="Heading4">
    <w:name w:val="heading 4"/>
    <w:basedOn w:val="Normal"/>
    <w:next w:val="Normal"/>
    <w:link w:val="Heading4Char"/>
    <w:autoRedefine/>
    <w:qFormat/>
    <w:rsid w:val="00C425A0"/>
    <w:pPr>
      <w:keepNext/>
      <w:numPr>
        <w:ilvl w:val="3"/>
        <w:numId w:val="46"/>
      </w:numPr>
      <w:spacing w:before="240"/>
      <w:outlineLvl w:val="3"/>
    </w:pPr>
    <w:rPr>
      <w:rFonts w:eastAsia="Times New Roman" w:cs="Arial"/>
      <w:b/>
      <w:bCs/>
      <w:iCs/>
      <w:szCs w:val="28"/>
    </w:rPr>
  </w:style>
  <w:style w:type="paragraph" w:styleId="Heading5">
    <w:name w:val="heading 5"/>
    <w:basedOn w:val="Normal"/>
    <w:next w:val="Normal"/>
    <w:link w:val="Heading5Char"/>
    <w:qFormat/>
    <w:rsid w:val="00C425A0"/>
    <w:pPr>
      <w:numPr>
        <w:ilvl w:val="4"/>
        <w:numId w:val="46"/>
      </w:numPr>
      <w:spacing w:before="240"/>
      <w:outlineLvl w:val="4"/>
    </w:pPr>
    <w:rPr>
      <w:rFonts w:eastAsia="Times New Roman" w:cs="Arial"/>
      <w:b/>
      <w:bCs/>
      <w:i/>
      <w:iCs/>
      <w:szCs w:val="26"/>
    </w:rPr>
  </w:style>
  <w:style w:type="paragraph" w:styleId="Heading6">
    <w:name w:val="heading 6"/>
    <w:basedOn w:val="Normal"/>
    <w:next w:val="Normal"/>
    <w:link w:val="Heading6Char"/>
    <w:qFormat/>
    <w:rsid w:val="00C425A0"/>
    <w:pPr>
      <w:numPr>
        <w:ilvl w:val="5"/>
        <w:numId w:val="46"/>
      </w:numPr>
      <w:spacing w:before="240"/>
      <w:outlineLvl w:val="5"/>
    </w:pPr>
    <w:rPr>
      <w:rFonts w:ascii="Arial" w:hAnsi="Arial"/>
      <w:szCs w:val="22"/>
    </w:rPr>
  </w:style>
  <w:style w:type="paragraph" w:styleId="Heading7">
    <w:name w:val="heading 7"/>
    <w:basedOn w:val="Normal"/>
    <w:next w:val="Normal"/>
    <w:link w:val="Heading7Char"/>
    <w:qFormat/>
    <w:rsid w:val="00C425A0"/>
    <w:pPr>
      <w:numPr>
        <w:ilvl w:val="6"/>
        <w:numId w:val="46"/>
      </w:numPr>
      <w:spacing w:before="240"/>
      <w:outlineLvl w:val="6"/>
    </w:pPr>
    <w:rPr>
      <w:rFonts w:ascii="Arial" w:hAnsi="Arial"/>
      <w:sz w:val="28"/>
    </w:rPr>
  </w:style>
  <w:style w:type="paragraph" w:styleId="Heading8">
    <w:name w:val="heading 8"/>
    <w:basedOn w:val="Normal"/>
    <w:next w:val="Normal"/>
    <w:link w:val="Heading8Char"/>
    <w:qFormat/>
    <w:rsid w:val="00C425A0"/>
    <w:pPr>
      <w:numPr>
        <w:ilvl w:val="7"/>
        <w:numId w:val="46"/>
      </w:numPr>
      <w:spacing w:before="240"/>
      <w:outlineLvl w:val="7"/>
    </w:pPr>
    <w:rPr>
      <w:rFonts w:ascii="Arial" w:hAnsi="Arial"/>
      <w:i/>
      <w:sz w:val="28"/>
    </w:rPr>
  </w:style>
  <w:style w:type="paragraph" w:styleId="Heading9">
    <w:name w:val="heading 9"/>
    <w:basedOn w:val="Normal"/>
    <w:next w:val="Normal"/>
    <w:link w:val="Heading9Char"/>
    <w:qFormat/>
    <w:rsid w:val="00C425A0"/>
    <w:pPr>
      <w:numPr>
        <w:ilvl w:val="8"/>
        <w:numId w:val="46"/>
      </w:numPr>
      <w:spacing w:before="240"/>
      <w:outlineLvl w:val="8"/>
    </w:pPr>
    <w:rPr>
      <w:rFonts w:ascii="Arial" w:hAnsi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eterh1">
    <w:name w:val="Peter h1"/>
    <w:basedOn w:val="Heading1"/>
    <w:link w:val="Peterh1Char"/>
    <w:autoRedefine/>
    <w:rsid w:val="00916229"/>
    <w:rPr>
      <w:sz w:val="28"/>
    </w:rPr>
  </w:style>
  <w:style w:type="character" w:customStyle="1" w:styleId="Peterh1Char">
    <w:name w:val="Peter h1 Char"/>
    <w:basedOn w:val="Heading1Char"/>
    <w:link w:val="Peterh1"/>
    <w:rsid w:val="00916229"/>
    <w:rPr>
      <w:rFonts w:asciiTheme="majorHAnsi" w:eastAsiaTheme="majorEastAsia" w:hAnsiTheme="majorHAnsi" w:cstheme="majorBidi"/>
      <w:b/>
      <w:bCs/>
      <w:color w:val="2E74B5" w:themeColor="accent1" w:themeShade="BF"/>
      <w:kern w:val="32"/>
      <w:sz w:val="28"/>
      <w:szCs w:val="32"/>
    </w:rPr>
  </w:style>
  <w:style w:type="character" w:customStyle="1" w:styleId="Heading1Char">
    <w:name w:val="Heading 1 Char"/>
    <w:basedOn w:val="DefaultParagraphFont"/>
    <w:link w:val="Heading1"/>
    <w:rsid w:val="00EC6AD2"/>
    <w:rPr>
      <w:rFonts w:asciiTheme="minorHAnsi" w:eastAsia="Times New Roman" w:hAnsiTheme="minorHAnsi"/>
      <w:kern w:val="32"/>
      <w:sz w:val="24"/>
      <w:szCs w:val="32"/>
    </w:rPr>
  </w:style>
  <w:style w:type="paragraph" w:customStyle="1" w:styleId="Peternumbered">
    <w:name w:val="Peter numbered"/>
    <w:basedOn w:val="TOCHeading"/>
    <w:qFormat/>
    <w:rsid w:val="0071385C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1385C"/>
    <w:pPr>
      <w:keepNext/>
      <w:keepLines/>
      <w:numPr>
        <w:numId w:val="0"/>
      </w:numPr>
      <w:spacing w:before="48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EC6AD2"/>
    <w:rPr>
      <w:rFonts w:asciiTheme="minorHAnsi" w:eastAsia="Times New Roman" w:hAnsiTheme="minorHAnsi"/>
      <w:sz w:val="24"/>
      <w:szCs w:val="28"/>
    </w:rPr>
  </w:style>
  <w:style w:type="character" w:customStyle="1" w:styleId="Heading3Char">
    <w:name w:val="Heading 3 Char"/>
    <w:basedOn w:val="DefaultParagraphFont"/>
    <w:link w:val="Heading3"/>
    <w:rsid w:val="00C425A0"/>
    <w:rPr>
      <w:rFonts w:asciiTheme="minorHAnsi" w:eastAsia="Times New Roman" w:hAnsiTheme="minorHAnsi" w:cs="Arial"/>
      <w:b/>
      <w:bCs/>
      <w:sz w:val="22"/>
      <w:szCs w:val="26"/>
      <w:lang w:val="en-ZA"/>
    </w:rPr>
  </w:style>
  <w:style w:type="character" w:customStyle="1" w:styleId="Heading4Char">
    <w:name w:val="Heading 4 Char"/>
    <w:basedOn w:val="DefaultParagraphFont"/>
    <w:link w:val="Heading4"/>
    <w:rsid w:val="00931F86"/>
    <w:rPr>
      <w:rFonts w:asciiTheme="minorHAnsi" w:eastAsia="Times New Roman" w:hAnsiTheme="minorHAnsi"/>
      <w:sz w:val="24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rsid w:val="00931F86"/>
    <w:rPr>
      <w:rFonts w:asciiTheme="minorHAnsi" w:eastAsia="Times New Roman" w:hAnsiTheme="minorHAnsi"/>
      <w:i/>
      <w:sz w:val="24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rsid w:val="0071385C"/>
    <w:rPr>
      <w:rFonts w:ascii="Arial" w:hAnsi="Arial" w:cstheme="minorBidi"/>
      <w:b w:val="0"/>
      <w:bCs w:val="0"/>
      <w:iCs w:val="0"/>
      <w:sz w:val="24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rsid w:val="0071385C"/>
    <w:rPr>
      <w:rFonts w:ascii="Arial" w:hAnsi="Arial" w:cstheme="minorBidi"/>
      <w:b w:val="0"/>
      <w:bCs w:val="0"/>
      <w:iCs w:val="0"/>
      <w:sz w:val="28"/>
      <w:lang w:val="en-GB"/>
    </w:rPr>
  </w:style>
  <w:style w:type="character" w:customStyle="1" w:styleId="Heading8Char">
    <w:name w:val="Heading 8 Char"/>
    <w:basedOn w:val="DefaultParagraphFont"/>
    <w:link w:val="Heading8"/>
    <w:rsid w:val="0071385C"/>
    <w:rPr>
      <w:rFonts w:ascii="Arial" w:hAnsi="Arial" w:cstheme="minorBidi"/>
      <w:b w:val="0"/>
      <w:bCs w:val="0"/>
      <w:i/>
      <w:iCs w:val="0"/>
      <w:sz w:val="28"/>
      <w:lang w:val="en-GB"/>
    </w:rPr>
  </w:style>
  <w:style w:type="character" w:customStyle="1" w:styleId="Heading9Char">
    <w:name w:val="Heading 9 Char"/>
    <w:basedOn w:val="DefaultParagraphFont"/>
    <w:link w:val="Heading9"/>
    <w:rsid w:val="0071385C"/>
    <w:rPr>
      <w:rFonts w:ascii="Arial" w:hAnsi="Arial" w:cstheme="minorBidi"/>
      <w:b w:val="0"/>
      <w:bCs w:val="0"/>
      <w:iCs w:val="0"/>
      <w:sz w:val="24"/>
      <w:szCs w:val="22"/>
      <w:lang w:val="en-GB"/>
    </w:rPr>
  </w:style>
  <w:style w:type="paragraph" w:styleId="TOC1">
    <w:name w:val="toc 1"/>
    <w:basedOn w:val="Normal"/>
    <w:next w:val="Normal"/>
    <w:autoRedefine/>
    <w:uiPriority w:val="39"/>
    <w:unhideWhenUsed/>
    <w:rsid w:val="00F167F8"/>
    <w:pPr>
      <w:spacing w:after="100"/>
    </w:pPr>
  </w:style>
  <w:style w:type="paragraph" w:styleId="ListParagraph">
    <w:name w:val="List Paragraph"/>
    <w:basedOn w:val="Normal"/>
    <w:uiPriority w:val="34"/>
    <w:qFormat/>
    <w:rsid w:val="008A492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34FC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34FC4"/>
    <w:rPr>
      <w:rFonts w:asciiTheme="minorHAnsi" w:hAnsiTheme="minorHAnsi" w:cstheme="minorBidi"/>
      <w:b w:val="0"/>
      <w:bCs w:val="0"/>
      <w:iCs w:val="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C34FC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4FC4"/>
    <w:rPr>
      <w:rFonts w:asciiTheme="minorHAnsi" w:hAnsiTheme="minorHAnsi" w:cstheme="minorBidi"/>
      <w:b w:val="0"/>
      <w:bCs w:val="0"/>
      <w:iCs w:val="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POPI Act Security Compromise Management Guidelines</dc:title>
  <dc:creator>Dr Peter Tobin, CGEIT, PMIITPSA, PMP</dc:creator>
  <dc:description>POPI Act Security Compromise Management Guidelines</dc:description>
  <cp:lastModifiedBy>Dr Peter Tobin, CGEIT, PMIITPSA, PMP</cp:lastModifiedBy>
  <cp:revision>2</cp:revision>
  <dcterms:created xsi:type="dcterms:W3CDTF">2016-08-13T17:02:00Z</dcterms:created>
  <dcterms:modified xsi:type="dcterms:W3CDTF">2016-08-13T17:02:00Z</dcterms:modified>
</cp:coreProperties>
</file>