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4C3" w:rsidRDefault="00F05991" w:rsidP="00255965">
      <w:pPr>
        <w:jc w:val="center"/>
        <w:rPr>
          <w:b/>
        </w:rPr>
      </w:pPr>
      <w:r>
        <w:rPr>
          <w:b/>
        </w:rPr>
        <w:t>D</w:t>
      </w:r>
      <w:r w:rsidR="00014340" w:rsidRPr="00255965">
        <w:rPr>
          <w:b/>
        </w:rPr>
        <w:t xml:space="preserve">isposal checklist </w:t>
      </w:r>
    </w:p>
    <w:p w:rsidR="00014340" w:rsidRPr="00255965" w:rsidRDefault="00014340" w:rsidP="00255965">
      <w:pPr>
        <w:jc w:val="center"/>
        <w:rPr>
          <w:b/>
        </w:rPr>
      </w:pPr>
      <w:r w:rsidRPr="00255965">
        <w:rPr>
          <w:b/>
        </w:rPr>
        <w:t>for POPI Act compliance</w:t>
      </w:r>
    </w:p>
    <w:p w:rsidR="00014340" w:rsidRDefault="00014340" w:rsidP="000143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3"/>
        <w:gridCol w:w="4119"/>
      </w:tblGrid>
      <w:tr w:rsidR="00F05991" w:rsidRPr="00F05991" w:rsidTr="00F05991">
        <w:tc>
          <w:tcPr>
            <w:tcW w:w="5123" w:type="dxa"/>
          </w:tcPr>
          <w:p w:rsidR="00F05991" w:rsidRPr="00F05991" w:rsidRDefault="00F05991" w:rsidP="00F05991">
            <w:pPr>
              <w:jc w:val="center"/>
              <w:rPr>
                <w:b/>
              </w:rPr>
            </w:pPr>
            <w:r w:rsidRPr="00F05991">
              <w:rPr>
                <w:b/>
              </w:rPr>
              <w:t>Requirement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jc w:val="center"/>
              <w:rPr>
                <w:b/>
              </w:rPr>
            </w:pPr>
            <w:r w:rsidRPr="00F05991">
              <w:rPr>
                <w:b/>
              </w:rPr>
              <w:t>Response</w:t>
            </w: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0"/>
                <w:numId w:val="16"/>
              </w:numPr>
            </w:pPr>
            <w:r w:rsidRPr="00F05991">
              <w:t>Do we follow our policy which classifies data into different categories which drives our disposal rules?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36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2"/>
                <w:numId w:val="16"/>
              </w:numPr>
            </w:pPr>
            <w:r w:rsidRPr="00F05991">
              <w:t>Public data: No secure disposal required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198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2"/>
                <w:numId w:val="16"/>
              </w:numPr>
            </w:pPr>
            <w:r w:rsidRPr="00F05991">
              <w:t>Internal use only: secure data destruction required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198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0"/>
                <w:numId w:val="16"/>
              </w:numPr>
            </w:pPr>
            <w:r w:rsidRPr="00F05991">
              <w:t>Physical disposal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36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1"/>
                <w:numId w:val="16"/>
              </w:numPr>
            </w:pPr>
            <w:r w:rsidRPr="00F05991">
              <w:t>What rules do we have about disposal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108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2"/>
                <w:numId w:val="16"/>
              </w:numPr>
            </w:pPr>
            <w:r w:rsidRPr="00F05991">
              <w:t>What can go in the bin?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198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2"/>
                <w:numId w:val="16"/>
              </w:numPr>
            </w:pPr>
            <w:r w:rsidRPr="00F05991">
              <w:t>What must be shredded?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198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2"/>
                <w:numId w:val="16"/>
              </w:numPr>
            </w:pPr>
            <w:r w:rsidRPr="00F05991">
              <w:t>What level of shredding? (e.g. ribbon vs cross-cut)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198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2"/>
                <w:numId w:val="16"/>
              </w:numPr>
            </w:pPr>
            <w:r w:rsidRPr="00F05991">
              <w:t>Who does the shredding (personal, departmental, off-site disposal)?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198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2"/>
                <w:numId w:val="16"/>
              </w:numPr>
            </w:pPr>
            <w:r w:rsidRPr="00F05991">
              <w:t>What type of shredder do I need (selection criteria checklist)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198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2"/>
                <w:numId w:val="16"/>
              </w:numPr>
            </w:pPr>
            <w:r w:rsidRPr="00F05991">
              <w:t>What other disposal is acceptable?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198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0"/>
                <w:numId w:val="16"/>
              </w:numPr>
            </w:pPr>
            <w:r w:rsidRPr="00F05991">
              <w:t>Electronic disposal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36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1"/>
                <w:numId w:val="16"/>
              </w:numPr>
            </w:pPr>
            <w:r w:rsidRPr="00F05991">
              <w:t>What controls do we have to get this done?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108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1"/>
                <w:numId w:val="16"/>
              </w:numPr>
            </w:pPr>
            <w:r w:rsidRPr="00F05991">
              <w:t>What checks do we have that electronic destruction was effective?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108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0"/>
                <w:numId w:val="16"/>
              </w:numPr>
            </w:pPr>
            <w:r w:rsidRPr="00F05991">
              <w:t>Have we trained our staff about effective destruction?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36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0"/>
                <w:numId w:val="16"/>
              </w:numPr>
            </w:pPr>
            <w:r w:rsidRPr="00F05991">
              <w:t>What continuing awareness do we have in place?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360"/>
            </w:pPr>
          </w:p>
        </w:tc>
      </w:tr>
      <w:tr w:rsidR="00F05991" w:rsidRPr="00F05991" w:rsidTr="00F05991">
        <w:tc>
          <w:tcPr>
            <w:tcW w:w="5123" w:type="dxa"/>
          </w:tcPr>
          <w:p w:rsidR="00F05991" w:rsidRPr="00F05991" w:rsidRDefault="00F05991" w:rsidP="00925A55">
            <w:pPr>
              <w:pStyle w:val="ListParagraph"/>
              <w:numPr>
                <w:ilvl w:val="0"/>
                <w:numId w:val="16"/>
              </w:numPr>
            </w:pPr>
            <w:r w:rsidRPr="00F05991">
              <w:t>What audit or other checks for effective destruction do we have in place?</w:t>
            </w:r>
          </w:p>
        </w:tc>
        <w:tc>
          <w:tcPr>
            <w:tcW w:w="4119" w:type="dxa"/>
          </w:tcPr>
          <w:p w:rsidR="00F05991" w:rsidRPr="00F05991" w:rsidRDefault="00F05991" w:rsidP="00F05991">
            <w:pPr>
              <w:ind w:left="360"/>
            </w:pPr>
          </w:p>
        </w:tc>
      </w:tr>
    </w:tbl>
    <w:p w:rsidR="00014340" w:rsidRDefault="00014340" w:rsidP="00014340"/>
    <w:p w:rsidR="00014340" w:rsidRDefault="00014340" w:rsidP="00014340"/>
    <w:p w:rsidR="00014340" w:rsidRDefault="00014340" w:rsidP="00014340"/>
    <w:p w:rsidR="001966DC" w:rsidRDefault="001966DC">
      <w:bookmarkStart w:id="0" w:name="_GoBack"/>
      <w:bookmarkEnd w:id="0"/>
    </w:p>
    <w:sectPr w:rsidR="001966DC" w:rsidSect="00FE05F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98A" w:rsidRDefault="0015498A" w:rsidP="001F0CF1">
      <w:r>
        <w:separator/>
      </w:r>
    </w:p>
  </w:endnote>
  <w:endnote w:type="continuationSeparator" w:id="0">
    <w:p w:rsidR="0015498A" w:rsidRDefault="0015498A" w:rsidP="001F0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CF1" w:rsidRDefault="001F0CF1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 w:rsidRPr="001F0CF1">
      <w:rPr>
        <w:rFonts w:asciiTheme="majorHAnsi" w:hAnsiTheme="majorHAnsi"/>
      </w:rPr>
      <w:t>© John Cato &amp; Dr Peter Tobin, 201</w:t>
    </w:r>
    <w:r w:rsidR="00F05991">
      <w:rPr>
        <w:rFonts w:asciiTheme="majorHAnsi" w:hAnsiTheme="majorHAnsi"/>
      </w:rPr>
      <w:t>9</w:t>
    </w:r>
    <w:r w:rsidRPr="001F0CF1">
      <w:rPr>
        <w:rFonts w:asciiTheme="majorHAnsi" w:hAnsiTheme="majorHAnsi"/>
      </w:rPr>
      <w:t>. All rights reserved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15498A">
      <w:rPr>
        <w:rFonts w:asciiTheme="majorHAnsi" w:hAnsiTheme="majorHAnsi"/>
        <w:noProof/>
      </w:rPr>
      <w:fldChar w:fldCharType="begin"/>
    </w:r>
    <w:r w:rsidR="0015498A">
      <w:rPr>
        <w:rFonts w:asciiTheme="majorHAnsi" w:hAnsiTheme="majorHAnsi"/>
        <w:noProof/>
      </w:rPr>
      <w:instrText xml:space="preserve"> PAGE   \* MERGEFORMAT </w:instrText>
    </w:r>
    <w:r w:rsidR="0015498A">
      <w:rPr>
        <w:rFonts w:asciiTheme="majorHAnsi" w:hAnsiTheme="majorHAnsi"/>
        <w:noProof/>
      </w:rPr>
      <w:fldChar w:fldCharType="separate"/>
    </w:r>
    <w:r w:rsidR="00F05991">
      <w:rPr>
        <w:rFonts w:asciiTheme="majorHAnsi" w:hAnsiTheme="majorHAnsi"/>
        <w:noProof/>
      </w:rPr>
      <w:t>1</w:t>
    </w:r>
    <w:r w:rsidR="0015498A">
      <w:rPr>
        <w:rFonts w:asciiTheme="majorHAnsi" w:hAnsiTheme="majorHAnsi"/>
        <w:noProof/>
      </w:rPr>
      <w:fldChar w:fldCharType="end"/>
    </w:r>
  </w:p>
  <w:p w:rsidR="001F0CF1" w:rsidRDefault="001F0C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98A" w:rsidRDefault="0015498A" w:rsidP="001F0CF1">
      <w:r>
        <w:separator/>
      </w:r>
    </w:p>
  </w:footnote>
  <w:footnote w:type="continuationSeparator" w:id="0">
    <w:p w:rsidR="0015498A" w:rsidRDefault="0015498A" w:rsidP="001F0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C6462"/>
    <w:multiLevelType w:val="hybridMultilevel"/>
    <w:tmpl w:val="BAC0C8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735E48"/>
    <w:multiLevelType w:val="multilevel"/>
    <w:tmpl w:val="C1BE178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4340"/>
    <w:rsid w:val="00000AC4"/>
    <w:rsid w:val="00014340"/>
    <w:rsid w:val="00055E8A"/>
    <w:rsid w:val="000A082D"/>
    <w:rsid w:val="000B39CA"/>
    <w:rsid w:val="000B674B"/>
    <w:rsid w:val="0015498A"/>
    <w:rsid w:val="001678B5"/>
    <w:rsid w:val="001966DC"/>
    <w:rsid w:val="001F0CF1"/>
    <w:rsid w:val="00255965"/>
    <w:rsid w:val="00392744"/>
    <w:rsid w:val="00433F01"/>
    <w:rsid w:val="004901E2"/>
    <w:rsid w:val="004B226D"/>
    <w:rsid w:val="005361FC"/>
    <w:rsid w:val="005D74AD"/>
    <w:rsid w:val="00647CBB"/>
    <w:rsid w:val="006C4549"/>
    <w:rsid w:val="0071385C"/>
    <w:rsid w:val="00833017"/>
    <w:rsid w:val="00916229"/>
    <w:rsid w:val="009558FA"/>
    <w:rsid w:val="0098227E"/>
    <w:rsid w:val="009E111A"/>
    <w:rsid w:val="009F5930"/>
    <w:rsid w:val="00B22A8D"/>
    <w:rsid w:val="00BD006D"/>
    <w:rsid w:val="00BF767B"/>
    <w:rsid w:val="00C03585"/>
    <w:rsid w:val="00C4182C"/>
    <w:rsid w:val="00C909D2"/>
    <w:rsid w:val="00CD235E"/>
    <w:rsid w:val="00CE13AB"/>
    <w:rsid w:val="00DE31F2"/>
    <w:rsid w:val="00E00A31"/>
    <w:rsid w:val="00E925DB"/>
    <w:rsid w:val="00F05991"/>
    <w:rsid w:val="00F167F8"/>
    <w:rsid w:val="00F26C6A"/>
    <w:rsid w:val="00FB64C3"/>
    <w:rsid w:val="00FE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4F61E6-6543-422E-9943-EFFC0E5D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theme="minorBidi"/>
        <w:b/>
        <w:bCs/>
        <w:sz w:val="24"/>
        <w:szCs w:val="24"/>
        <w:u w:val="single"/>
        <w:lang w:val="en-Z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340"/>
    <w:pPr>
      <w:widowControl w:val="0"/>
    </w:pPr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Heading1">
    <w:name w:val="heading 1"/>
    <w:basedOn w:val="Normal"/>
    <w:next w:val="Normal"/>
    <w:link w:val="Heading1Char"/>
    <w:qFormat/>
    <w:rsid w:val="00C4182C"/>
    <w:pPr>
      <w:numPr>
        <w:numId w:val="15"/>
      </w:numPr>
      <w:spacing w:before="240" w:after="60"/>
      <w:outlineLvl w:val="0"/>
    </w:pPr>
    <w:rPr>
      <w:rFonts w:eastAsiaTheme="majorEastAsia"/>
      <w:b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4182C"/>
    <w:pPr>
      <w:numPr>
        <w:ilvl w:val="1"/>
        <w:numId w:val="15"/>
      </w:numPr>
      <w:spacing w:after="60" w:line="480" w:lineRule="auto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C4182C"/>
    <w:pPr>
      <w:keepNext/>
      <w:numPr>
        <w:ilvl w:val="2"/>
        <w:numId w:val="15"/>
      </w:numPr>
      <w:spacing w:before="240" w:after="60"/>
      <w:outlineLvl w:val="2"/>
    </w:pPr>
    <w:rPr>
      <w:b/>
      <w:szCs w:val="26"/>
    </w:rPr>
  </w:style>
  <w:style w:type="paragraph" w:styleId="Heading4">
    <w:name w:val="heading 4"/>
    <w:basedOn w:val="Normal"/>
    <w:next w:val="Normal"/>
    <w:link w:val="Heading4Char"/>
    <w:qFormat/>
    <w:rsid w:val="00C4182C"/>
    <w:pPr>
      <w:keepNext/>
      <w:numPr>
        <w:ilvl w:val="3"/>
        <w:numId w:val="15"/>
      </w:numPr>
      <w:spacing w:before="240" w:after="60"/>
      <w:outlineLvl w:val="3"/>
    </w:pPr>
    <w:rPr>
      <w:rFonts w:ascii="Arial" w:hAnsi="Arial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4182C"/>
    <w:pPr>
      <w:numPr>
        <w:ilvl w:val="4"/>
        <w:numId w:val="15"/>
      </w:numPr>
      <w:spacing w:before="240" w:after="60"/>
      <w:outlineLvl w:val="4"/>
    </w:pPr>
    <w:rPr>
      <w:rFonts w:ascii="Arial" w:hAnsi="Arial"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4182C"/>
    <w:pPr>
      <w:numPr>
        <w:ilvl w:val="5"/>
        <w:numId w:val="15"/>
      </w:numPr>
      <w:spacing w:before="240" w:after="6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C4182C"/>
    <w:pPr>
      <w:numPr>
        <w:ilvl w:val="6"/>
        <w:numId w:val="15"/>
      </w:numPr>
      <w:spacing w:before="240" w:after="6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C4182C"/>
    <w:pPr>
      <w:numPr>
        <w:ilvl w:val="7"/>
        <w:numId w:val="15"/>
      </w:numPr>
      <w:spacing w:before="240" w:after="6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C4182C"/>
    <w:pPr>
      <w:numPr>
        <w:ilvl w:val="8"/>
        <w:numId w:val="1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pPr>
      <w:spacing w:before="120"/>
    </w:pPr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C4182C"/>
    <w:rPr>
      <w:rFonts w:eastAsiaTheme="majorEastAsia"/>
      <w:kern w:val="32"/>
      <w:szCs w:val="32"/>
    </w:rPr>
  </w:style>
  <w:style w:type="paragraph" w:customStyle="1" w:styleId="Peternumbered">
    <w:name w:val="Peter numbered"/>
    <w:basedOn w:val="TOCHeading"/>
    <w:qFormat/>
    <w:rsid w:val="0071385C"/>
    <w:rPr>
      <w:rFonts w:eastAsia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925DB"/>
    <w:rPr>
      <w:rFonts w:eastAsia="Times New Roman"/>
      <w:bCs w:val="0"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4B226D"/>
    <w:rPr>
      <w:rFonts w:asciiTheme="minorHAnsi" w:eastAsia="Times New Roman" w:hAnsiTheme="minorHAnsi"/>
      <w:szCs w:val="26"/>
    </w:rPr>
  </w:style>
  <w:style w:type="character" w:customStyle="1" w:styleId="Heading4Char">
    <w:name w:val="Heading 4 Char"/>
    <w:basedOn w:val="DefaultParagraphFont"/>
    <w:link w:val="Heading4"/>
    <w:rsid w:val="0071385C"/>
    <w:rPr>
      <w:rFonts w:ascii="Arial" w:eastAsia="Times New Roman" w:hAnsi="Arial"/>
      <w:b w:val="0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ascii="Arial" w:eastAsia="Times New Roman" w:hAnsi="Arial"/>
      <w:b w:val="0"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eastAsia="Times New Roman" w:hAnsi="Arial"/>
      <w:b w:val="0"/>
      <w:szCs w:val="22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eastAsia="Times New Roman" w:hAnsi="Arial"/>
      <w:b w:val="0"/>
      <w:sz w:val="28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eastAsia="Times New Roman" w:hAnsi="Arial"/>
      <w:b w:val="0"/>
      <w:i/>
      <w:iCs/>
      <w:sz w:val="28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eastAsia="Times New Roman" w:hAnsi="Arial"/>
      <w:b w:val="0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  <w:rPr>
      <w:iCs/>
      <w:lang w:val="en-GB"/>
    </w:rPr>
  </w:style>
  <w:style w:type="paragraph" w:styleId="ListParagraph">
    <w:name w:val="List Paragraph"/>
    <w:basedOn w:val="Normal"/>
    <w:uiPriority w:val="34"/>
    <w:qFormat/>
    <w:rsid w:val="000143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0C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0CF1"/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F0C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0CF1"/>
    <w:rPr>
      <w:rFonts w:cs="Times New Roman"/>
      <w:b w:val="0"/>
      <w:bCs w:val="0"/>
      <w:snapToGrid w:val="0"/>
      <w:szCs w:val="20"/>
      <w:u w:val="none"/>
      <w:lang w:val="en-US"/>
    </w:rPr>
  </w:style>
  <w:style w:type="table" w:styleId="TableGrid">
    <w:name w:val="Table Grid"/>
    <w:basedOn w:val="TableNormal"/>
    <w:uiPriority w:val="39"/>
    <w:rsid w:val="00F05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</cp:lastModifiedBy>
  <cp:revision>8</cp:revision>
  <dcterms:created xsi:type="dcterms:W3CDTF">2015-05-04T07:50:00Z</dcterms:created>
  <dcterms:modified xsi:type="dcterms:W3CDTF">2019-04-09T15:05:00Z</dcterms:modified>
</cp:coreProperties>
</file>