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DC" w:rsidRPr="0092464C" w:rsidRDefault="00981D56" w:rsidP="00E15F6C">
      <w:pPr>
        <w:jc w:val="center"/>
        <w:rPr>
          <w:rFonts w:asciiTheme="minorHAnsi" w:hAnsiTheme="minorHAnsi"/>
          <w:b/>
          <w:szCs w:val="24"/>
          <w:u w:val="single"/>
        </w:rPr>
      </w:pPr>
      <w:r w:rsidRPr="0092464C">
        <w:rPr>
          <w:rFonts w:asciiTheme="minorHAnsi" w:hAnsiTheme="minorHAnsi"/>
          <w:b/>
          <w:szCs w:val="24"/>
          <w:u w:val="single"/>
        </w:rPr>
        <w:t>POPI and BYOD</w:t>
      </w:r>
      <w:r w:rsidR="00E54D92" w:rsidRPr="0092464C">
        <w:rPr>
          <w:rFonts w:asciiTheme="minorHAnsi" w:hAnsiTheme="minorHAnsi"/>
          <w:b/>
          <w:szCs w:val="24"/>
          <w:u w:val="single"/>
        </w:rPr>
        <w:t xml:space="preserve"> recommendations</w:t>
      </w:r>
    </w:p>
    <w:p w:rsidR="00E54D92" w:rsidRPr="004C4935" w:rsidRDefault="00E54D92" w:rsidP="00E15F6C">
      <w:pPr>
        <w:rPr>
          <w:rFonts w:asciiTheme="minorHAnsi" w:hAnsiTheme="minorHAnsi"/>
          <w:szCs w:val="24"/>
        </w:rPr>
      </w:pPr>
    </w:p>
    <w:p w:rsidR="00E54D92" w:rsidRPr="004C4935" w:rsidRDefault="00B12BB5" w:rsidP="00B12BB5">
      <w:pPr>
        <w:jc w:val="both"/>
        <w:rPr>
          <w:rFonts w:asciiTheme="minorHAnsi" w:hAnsiTheme="minorHAnsi"/>
          <w:szCs w:val="24"/>
        </w:rPr>
      </w:pPr>
      <w:r w:rsidRPr="00FA3655">
        <w:rPr>
          <w:rFonts w:asciiTheme="minorHAnsi" w:hAnsiTheme="minorHAnsi"/>
          <w:szCs w:val="24"/>
        </w:rPr>
        <w:t>As part of your overall POPI Act compliance risk assessment</w:t>
      </w:r>
      <w:r>
        <w:rPr>
          <w:rFonts w:asciiTheme="minorHAnsi" w:hAnsiTheme="minorHAnsi"/>
          <w:szCs w:val="24"/>
        </w:rPr>
        <w:t xml:space="preserve"> in order to comply with Condition 7 (Security Safeguards, Section 19) you need to identify the risks associated with using</w:t>
      </w:r>
      <w:r w:rsidR="00E54D92" w:rsidRPr="004C4935">
        <w:rPr>
          <w:rFonts w:asciiTheme="minorHAnsi" w:hAnsiTheme="minorHAnsi"/>
          <w:szCs w:val="24"/>
        </w:rPr>
        <w:t xml:space="preserve"> “BYOD” – Bring Your Own Device</w:t>
      </w:r>
      <w:r>
        <w:rPr>
          <w:rFonts w:asciiTheme="minorHAnsi" w:hAnsiTheme="minorHAnsi"/>
          <w:szCs w:val="24"/>
        </w:rPr>
        <w:t xml:space="preserve">. </w:t>
      </w:r>
      <w:r w:rsidR="00C21394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 xml:space="preserve">Follow these recommendations as part of your overall risk management approach </w:t>
      </w:r>
      <w:r w:rsidR="00C21394">
        <w:rPr>
          <w:rFonts w:asciiTheme="minorHAnsi" w:hAnsiTheme="minorHAnsi"/>
          <w:szCs w:val="24"/>
        </w:rPr>
        <w:t>to reduce the risks associated with the use of BYOD devices.</w:t>
      </w:r>
    </w:p>
    <w:p w:rsidR="00E54D92" w:rsidRDefault="00E54D92" w:rsidP="00E15F6C">
      <w:pPr>
        <w:pStyle w:val="Heading1"/>
        <w:rPr>
          <w:snapToGrid/>
        </w:rPr>
      </w:pPr>
      <w:r w:rsidRPr="004C4935">
        <w:rPr>
          <w:snapToGrid/>
        </w:rPr>
        <w:t>Ensure devices are secure</w:t>
      </w:r>
    </w:p>
    <w:p w:rsidR="0092464C" w:rsidRPr="004C4935" w:rsidRDefault="0092464C" w:rsidP="00E15F6C">
      <w:pPr>
        <w:pStyle w:val="ListParagraph"/>
        <w:rPr>
          <w:rFonts w:asciiTheme="minorHAnsi" w:hAnsiTheme="minorHAnsi" w:cs="Georgia"/>
          <w:bCs/>
          <w:snapToGrid/>
          <w:color w:val="333333"/>
          <w:szCs w:val="24"/>
        </w:rPr>
      </w:pPr>
    </w:p>
    <w:p w:rsidR="004C4935" w:rsidRPr="00E15F6C" w:rsidRDefault="004C4935" w:rsidP="00E15F6C">
      <w:pPr>
        <w:pStyle w:val="Heading2"/>
        <w:spacing w:line="240" w:lineRule="auto"/>
        <w:rPr>
          <w:b w:val="0"/>
          <w:snapToGrid/>
        </w:rPr>
      </w:pPr>
      <w:r w:rsidRPr="00E15F6C">
        <w:rPr>
          <w:b w:val="0"/>
          <w:snapToGrid/>
        </w:rPr>
        <w:t>Ensure devices are locked with a strong password;</w:t>
      </w:r>
    </w:p>
    <w:p w:rsidR="004C4935" w:rsidRPr="00E15F6C" w:rsidRDefault="004C4935" w:rsidP="00E15F6C">
      <w:pPr>
        <w:pStyle w:val="Heading2"/>
        <w:spacing w:line="240" w:lineRule="auto"/>
        <w:rPr>
          <w:b w:val="0"/>
          <w:snapToGrid/>
        </w:rPr>
      </w:pPr>
      <w:r w:rsidRPr="00E15F6C">
        <w:rPr>
          <w:b w:val="0"/>
          <w:snapToGrid/>
        </w:rPr>
        <w:t>Use encryption to store data on the device securely;</w:t>
      </w:r>
    </w:p>
    <w:p w:rsidR="00E54D92" w:rsidRPr="00E15F6C" w:rsidRDefault="004C4935" w:rsidP="00E15F6C">
      <w:pPr>
        <w:pStyle w:val="Heading2"/>
        <w:spacing w:line="240" w:lineRule="auto"/>
        <w:rPr>
          <w:rFonts w:cs="Georgia"/>
          <w:b w:val="0"/>
          <w:snapToGrid/>
        </w:rPr>
      </w:pPr>
      <w:r w:rsidRPr="00E15F6C">
        <w:rPr>
          <w:b w:val="0"/>
          <w:snapToGrid/>
        </w:rPr>
        <w:t xml:space="preserve">Maintain a clear separation between the </w:t>
      </w:r>
      <w:proofErr w:type="gramStart"/>
      <w:r w:rsidRPr="00E15F6C">
        <w:rPr>
          <w:b w:val="0"/>
          <w:snapToGrid/>
        </w:rPr>
        <w:t>employee’s</w:t>
      </w:r>
      <w:proofErr w:type="gramEnd"/>
      <w:r w:rsidRPr="00E15F6C">
        <w:rPr>
          <w:b w:val="0"/>
          <w:snapToGrid/>
        </w:rPr>
        <w:t xml:space="preserve"> private and work data, for example, by only using apps which you have approved for business use and use separate apps for personal use.</w:t>
      </w:r>
    </w:p>
    <w:p w:rsidR="00E54D92" w:rsidRDefault="00E54D92" w:rsidP="00E15F6C">
      <w:pPr>
        <w:pStyle w:val="Heading1"/>
        <w:rPr>
          <w:snapToGrid/>
        </w:rPr>
      </w:pPr>
      <w:r w:rsidRPr="004C4935">
        <w:rPr>
          <w:snapToGrid/>
        </w:rPr>
        <w:t>Ensure data transfers are secure</w:t>
      </w:r>
    </w:p>
    <w:p w:rsidR="0092464C" w:rsidRPr="004C4935" w:rsidRDefault="0092464C" w:rsidP="00E15F6C">
      <w:pPr>
        <w:pStyle w:val="ListParagraph"/>
        <w:rPr>
          <w:rFonts w:asciiTheme="minorHAnsi" w:hAnsiTheme="minorHAnsi" w:cs="Georgia"/>
          <w:bCs/>
          <w:snapToGrid/>
          <w:color w:val="333333"/>
          <w:szCs w:val="24"/>
        </w:rPr>
      </w:pPr>
    </w:p>
    <w:p w:rsidR="004C4935" w:rsidRPr="00E15F6C" w:rsidRDefault="004C4935" w:rsidP="00E15F6C">
      <w:pPr>
        <w:pStyle w:val="Heading2"/>
        <w:spacing w:line="240" w:lineRule="auto"/>
        <w:rPr>
          <w:b w:val="0"/>
          <w:snapToGrid/>
        </w:rPr>
      </w:pPr>
      <w:r w:rsidRPr="00E15F6C">
        <w:rPr>
          <w:b w:val="0"/>
          <w:snapToGrid/>
        </w:rPr>
        <w:t>Transfers of personal data should be done via a secure channel;</w:t>
      </w:r>
    </w:p>
    <w:p w:rsidR="004C4935" w:rsidRPr="00E15F6C" w:rsidRDefault="004C4935" w:rsidP="00E15F6C">
      <w:pPr>
        <w:pStyle w:val="Heading2"/>
        <w:spacing w:line="240" w:lineRule="auto"/>
        <w:rPr>
          <w:b w:val="0"/>
          <w:snapToGrid/>
        </w:rPr>
      </w:pPr>
      <w:r w:rsidRPr="00E15F6C">
        <w:rPr>
          <w:b w:val="0"/>
          <w:snapToGrid/>
        </w:rPr>
        <w:t xml:space="preserve">Be careful of </w:t>
      </w:r>
      <w:proofErr w:type="spellStart"/>
      <w:r w:rsidRPr="00E15F6C">
        <w:rPr>
          <w:b w:val="0"/>
          <w:snapToGrid/>
        </w:rPr>
        <w:t>untrusted</w:t>
      </w:r>
      <w:proofErr w:type="spellEnd"/>
      <w:r w:rsidRPr="00E15F6C">
        <w:rPr>
          <w:b w:val="0"/>
          <w:snapToGrid/>
        </w:rPr>
        <w:t xml:space="preserve"> connections, for example open Wi-Fi networks in coffee shops;</w:t>
      </w:r>
    </w:p>
    <w:p w:rsidR="00E54D92" w:rsidRPr="00E15F6C" w:rsidRDefault="004C4935" w:rsidP="00E15F6C">
      <w:pPr>
        <w:pStyle w:val="Heading2"/>
        <w:spacing w:line="240" w:lineRule="auto"/>
        <w:rPr>
          <w:b w:val="0"/>
          <w:snapToGrid/>
        </w:rPr>
      </w:pPr>
      <w:r w:rsidRPr="00E15F6C">
        <w:rPr>
          <w:b w:val="0"/>
          <w:snapToGrid/>
        </w:rPr>
        <w:t>Only use public cloud-based sharing and public backup services, which you have not fully assessed with extreme caution, if at all.</w:t>
      </w:r>
    </w:p>
    <w:p w:rsidR="00E54D92" w:rsidRDefault="00E54D92" w:rsidP="00E15F6C">
      <w:pPr>
        <w:pStyle w:val="Heading1"/>
        <w:rPr>
          <w:snapToGrid/>
        </w:rPr>
      </w:pPr>
      <w:r w:rsidRPr="004C4935">
        <w:rPr>
          <w:snapToGrid/>
        </w:rPr>
        <w:t>Retain control</w:t>
      </w:r>
    </w:p>
    <w:p w:rsidR="0092464C" w:rsidRPr="004C4935" w:rsidRDefault="0092464C" w:rsidP="00E15F6C">
      <w:pPr>
        <w:pStyle w:val="ListParagraph"/>
        <w:rPr>
          <w:rFonts w:asciiTheme="minorHAnsi" w:hAnsiTheme="minorHAnsi" w:cs="Georgia"/>
          <w:bCs/>
          <w:snapToGrid/>
          <w:color w:val="333333"/>
          <w:szCs w:val="24"/>
        </w:rPr>
      </w:pPr>
    </w:p>
    <w:p w:rsidR="004C4935" w:rsidRPr="00E15F6C" w:rsidRDefault="004C4935" w:rsidP="00E15F6C">
      <w:pPr>
        <w:pStyle w:val="Heading2"/>
        <w:spacing w:line="240" w:lineRule="auto"/>
        <w:rPr>
          <w:b w:val="0"/>
          <w:snapToGrid/>
        </w:rPr>
      </w:pPr>
      <w:r w:rsidRPr="00E15F6C">
        <w:rPr>
          <w:b w:val="0"/>
          <w:snapToGrid/>
        </w:rPr>
        <w:t>Register devices with a remote locate and wipe facility in the event of a loss or theft;</w:t>
      </w:r>
    </w:p>
    <w:p w:rsidR="00E54D92" w:rsidRPr="00E15F6C" w:rsidRDefault="004C4935" w:rsidP="00E15F6C">
      <w:pPr>
        <w:pStyle w:val="Heading2"/>
        <w:spacing w:line="240" w:lineRule="auto"/>
        <w:rPr>
          <w:b w:val="0"/>
          <w:snapToGrid/>
        </w:rPr>
      </w:pPr>
      <w:r w:rsidRPr="00E15F6C">
        <w:rPr>
          <w:b w:val="0"/>
          <w:snapToGrid/>
        </w:rPr>
        <w:t>Make sure users know exactly which data might be automatically or remotely deleted and under which circumstances.</w:t>
      </w:r>
    </w:p>
    <w:p w:rsidR="00E54D92" w:rsidRDefault="00E54D92" w:rsidP="00E15F6C">
      <w:pPr>
        <w:pStyle w:val="Heading1"/>
        <w:rPr>
          <w:snapToGrid/>
        </w:rPr>
      </w:pPr>
      <w:r w:rsidRPr="004C4935">
        <w:rPr>
          <w:snapToGrid/>
        </w:rPr>
        <w:t>Have an ‘end of contract’ policy</w:t>
      </w:r>
    </w:p>
    <w:p w:rsidR="0092464C" w:rsidRPr="004C4935" w:rsidRDefault="0092464C" w:rsidP="00E15F6C">
      <w:pPr>
        <w:pStyle w:val="ListParagraph"/>
        <w:rPr>
          <w:rFonts w:asciiTheme="minorHAnsi" w:hAnsiTheme="minorHAnsi" w:cs="Georgia"/>
          <w:bCs/>
          <w:snapToGrid/>
          <w:color w:val="333333"/>
          <w:szCs w:val="24"/>
        </w:rPr>
      </w:pPr>
    </w:p>
    <w:p w:rsidR="004C4935" w:rsidRPr="00E15F6C" w:rsidRDefault="004C4935" w:rsidP="00E15F6C">
      <w:pPr>
        <w:pStyle w:val="Heading2"/>
        <w:spacing w:line="240" w:lineRule="auto"/>
        <w:rPr>
          <w:b w:val="0"/>
          <w:snapToGrid/>
        </w:rPr>
      </w:pPr>
      <w:r w:rsidRPr="00E15F6C">
        <w:rPr>
          <w:b w:val="0"/>
          <w:snapToGrid/>
        </w:rPr>
        <w:t>Change the password and revoke all access to facilities such as the company email, intranet and social media</w:t>
      </w:r>
    </w:p>
    <w:p w:rsidR="00E54D92" w:rsidRPr="00E15F6C" w:rsidRDefault="004C4935" w:rsidP="00E15F6C">
      <w:pPr>
        <w:pStyle w:val="Heading2"/>
        <w:spacing w:line="240" w:lineRule="auto"/>
        <w:rPr>
          <w:b w:val="0"/>
          <w:snapToGrid/>
        </w:rPr>
      </w:pPr>
      <w:r w:rsidRPr="00E15F6C">
        <w:rPr>
          <w:b w:val="0"/>
          <w:snapToGrid/>
        </w:rPr>
        <w:t>Provide information on how users should delete the data on the device prior to disposal, resale or recycling.</w:t>
      </w:r>
    </w:p>
    <w:p w:rsidR="00E54D92" w:rsidRDefault="00E54D92" w:rsidP="00E15F6C">
      <w:pPr>
        <w:pStyle w:val="Heading1"/>
        <w:rPr>
          <w:snapToGrid/>
        </w:rPr>
      </w:pPr>
      <w:r w:rsidRPr="004C4935">
        <w:rPr>
          <w:snapToGrid/>
        </w:rPr>
        <w:t>Have a clear Acceptable Use Policy</w:t>
      </w:r>
    </w:p>
    <w:p w:rsidR="0092464C" w:rsidRPr="004C4935" w:rsidRDefault="0092464C" w:rsidP="00E15F6C">
      <w:pPr>
        <w:pStyle w:val="ListParagraph"/>
        <w:rPr>
          <w:rFonts w:asciiTheme="minorHAnsi" w:hAnsiTheme="minorHAnsi" w:cs="Georgia"/>
          <w:bCs/>
          <w:snapToGrid/>
          <w:color w:val="333333"/>
          <w:szCs w:val="24"/>
        </w:rPr>
      </w:pPr>
    </w:p>
    <w:p w:rsidR="004C4935" w:rsidRPr="00E15F6C" w:rsidRDefault="004C4935" w:rsidP="00E15F6C">
      <w:pPr>
        <w:pStyle w:val="Heading2"/>
        <w:spacing w:line="240" w:lineRule="auto"/>
        <w:rPr>
          <w:b w:val="0"/>
          <w:snapToGrid/>
        </w:rPr>
      </w:pPr>
      <w:r w:rsidRPr="00E15F6C">
        <w:rPr>
          <w:b w:val="0"/>
          <w:snapToGrid/>
        </w:rPr>
        <w:t xml:space="preserve">Implement and maintain an Acceptable Use Policy to provide guidance and accountability of </w:t>
      </w:r>
      <w:proofErr w:type="spellStart"/>
      <w:r w:rsidRPr="00E15F6C">
        <w:rPr>
          <w:b w:val="0"/>
          <w:snapToGrid/>
        </w:rPr>
        <w:t>behaviour</w:t>
      </w:r>
      <w:proofErr w:type="spellEnd"/>
      <w:r w:rsidRPr="00E15F6C">
        <w:rPr>
          <w:b w:val="0"/>
          <w:snapToGrid/>
        </w:rPr>
        <w:t>;</w:t>
      </w:r>
    </w:p>
    <w:p w:rsidR="004C4935" w:rsidRPr="00E15F6C" w:rsidRDefault="004C4935" w:rsidP="00E15F6C">
      <w:pPr>
        <w:pStyle w:val="Heading2"/>
        <w:spacing w:line="240" w:lineRule="auto"/>
        <w:rPr>
          <w:b w:val="0"/>
          <w:snapToGrid/>
        </w:rPr>
      </w:pPr>
      <w:r w:rsidRPr="00E15F6C">
        <w:rPr>
          <w:b w:val="0"/>
          <w:snapToGrid/>
        </w:rPr>
        <w:t>Consider if this needs to link to your Social Media Policy if BYOD leads to an increased use of social media;</w:t>
      </w:r>
    </w:p>
    <w:p w:rsidR="004C4935" w:rsidRPr="00E15F6C" w:rsidRDefault="004C4935" w:rsidP="00E15F6C">
      <w:pPr>
        <w:pStyle w:val="Heading2"/>
        <w:spacing w:line="240" w:lineRule="auto"/>
        <w:rPr>
          <w:b w:val="0"/>
          <w:snapToGrid/>
        </w:rPr>
      </w:pPr>
      <w:r w:rsidRPr="00E15F6C">
        <w:rPr>
          <w:b w:val="0"/>
          <w:snapToGrid/>
        </w:rPr>
        <w:t>Be clear about which types of personal data may be processed on personal devices and which may not;</w:t>
      </w:r>
    </w:p>
    <w:p w:rsidR="004C4935" w:rsidRPr="00E15F6C" w:rsidRDefault="004C4935" w:rsidP="00E15F6C">
      <w:pPr>
        <w:pStyle w:val="Heading2"/>
        <w:spacing w:line="240" w:lineRule="auto"/>
        <w:rPr>
          <w:b w:val="0"/>
          <w:snapToGrid/>
        </w:rPr>
      </w:pPr>
      <w:r w:rsidRPr="00E15F6C">
        <w:rPr>
          <w:b w:val="0"/>
          <w:snapToGrid/>
        </w:rPr>
        <w:t xml:space="preserve">Include all relevant departments (including employees, IT &amp; HR) and the end users in </w:t>
      </w:r>
      <w:r w:rsidRPr="00E15F6C">
        <w:rPr>
          <w:b w:val="0"/>
          <w:snapToGrid/>
        </w:rPr>
        <w:lastRenderedPageBreak/>
        <w:t>the development of an Acceptable Use Policy.</w:t>
      </w:r>
    </w:p>
    <w:p w:rsidR="00E54D92" w:rsidRPr="004C4935" w:rsidRDefault="00E54D92" w:rsidP="00E15F6C">
      <w:pPr>
        <w:rPr>
          <w:rFonts w:asciiTheme="minorHAnsi" w:hAnsiTheme="minorHAnsi" w:cs="Georgia"/>
          <w:bCs/>
          <w:snapToGrid/>
          <w:color w:val="333333"/>
          <w:szCs w:val="24"/>
        </w:rPr>
      </w:pPr>
    </w:p>
    <w:p w:rsidR="00981D56" w:rsidRPr="004C4935" w:rsidRDefault="00E54D92" w:rsidP="00E15F6C">
      <w:pPr>
        <w:rPr>
          <w:rFonts w:asciiTheme="minorHAnsi" w:hAnsiTheme="minorHAnsi"/>
          <w:szCs w:val="24"/>
        </w:rPr>
      </w:pPr>
      <w:r w:rsidRPr="004C4935">
        <w:rPr>
          <w:rFonts w:asciiTheme="minorHAnsi" w:hAnsiTheme="minorHAnsi" w:cs="Georgia"/>
          <w:bCs/>
          <w:snapToGrid/>
          <w:color w:val="333333"/>
          <w:szCs w:val="24"/>
        </w:rPr>
        <w:t xml:space="preserve">Source: </w:t>
      </w:r>
      <w:r w:rsidR="00E15F6C">
        <w:rPr>
          <w:rFonts w:asciiTheme="minorHAnsi" w:hAnsiTheme="minorHAnsi"/>
          <w:color w:val="000000" w:themeColor="text1"/>
          <w:szCs w:val="24"/>
        </w:rPr>
        <w:t>Adapted from “</w:t>
      </w:r>
      <w:r w:rsidRPr="004C4935">
        <w:rPr>
          <w:rFonts w:asciiTheme="minorHAnsi" w:hAnsiTheme="minorHAnsi" w:cs="Arial"/>
          <w:bCs/>
          <w:snapToGrid/>
          <w:szCs w:val="24"/>
        </w:rPr>
        <w:t>http://ico.org.uk/news/latest_news/2014/new-years-resolution-to-have-a-clear-personal-device-at-work-policy-08012014</w:t>
      </w:r>
      <w:r w:rsidR="00E15F6C">
        <w:rPr>
          <w:rFonts w:asciiTheme="minorHAnsi" w:hAnsiTheme="minorHAnsi" w:cs="Arial"/>
          <w:bCs/>
          <w:snapToGrid/>
          <w:szCs w:val="24"/>
        </w:rPr>
        <w:t>”</w:t>
      </w:r>
    </w:p>
    <w:sectPr w:rsidR="00981D56" w:rsidRPr="004C4935" w:rsidSect="00C2139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276" w:rsidRDefault="00FD7276" w:rsidP="00822CE1">
      <w:r>
        <w:separator/>
      </w:r>
    </w:p>
  </w:endnote>
  <w:endnote w:type="continuationSeparator" w:id="0">
    <w:p w:rsidR="00FD7276" w:rsidRDefault="00FD7276" w:rsidP="00822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CE1" w:rsidRDefault="00822CE1">
    <w:pPr>
      <w:pStyle w:val="Footer"/>
    </w:pPr>
    <w:r w:rsidRPr="00822CE1">
      <w:t>Copyright © John Cato &amp; Dr Peter Tobin, 2016. All rights reserved.</w:t>
    </w:r>
    <w:r>
      <w:tab/>
    </w:r>
    <w:fldSimple w:instr=" PAGE   \* MERGEFORMAT ">
      <w:r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276" w:rsidRDefault="00FD7276" w:rsidP="00822CE1">
      <w:r>
        <w:separator/>
      </w:r>
    </w:p>
  </w:footnote>
  <w:footnote w:type="continuationSeparator" w:id="0">
    <w:p w:rsidR="00FD7276" w:rsidRDefault="00FD7276" w:rsidP="00822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3370C"/>
    <w:multiLevelType w:val="hybridMultilevel"/>
    <w:tmpl w:val="DCC2B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F04C7"/>
    <w:multiLevelType w:val="hybridMultilevel"/>
    <w:tmpl w:val="12EEB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3414B"/>
    <w:multiLevelType w:val="hybridMultilevel"/>
    <w:tmpl w:val="C67C1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909D2"/>
    <w:multiLevelType w:val="hybridMultilevel"/>
    <w:tmpl w:val="E28CC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0B6C9D"/>
    <w:multiLevelType w:val="hybridMultilevel"/>
    <w:tmpl w:val="E66C4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93D1B"/>
    <w:multiLevelType w:val="hybridMultilevel"/>
    <w:tmpl w:val="29E0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735E48"/>
    <w:multiLevelType w:val="multilevel"/>
    <w:tmpl w:val="C1BE178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2"/>
  </w:num>
  <w:num w:numId="17">
    <w:abstractNumId w:val="0"/>
  </w:num>
  <w:num w:numId="18">
    <w:abstractNumId w:val="5"/>
  </w:num>
  <w:num w:numId="19">
    <w:abstractNumId w:val="4"/>
  </w:num>
  <w:num w:numId="20">
    <w:abstractNumId w:val="3"/>
  </w:num>
  <w:num w:numId="21">
    <w:abstractNumId w:val="1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102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D56"/>
    <w:rsid w:val="00055E8A"/>
    <w:rsid w:val="000A082D"/>
    <w:rsid w:val="000B39CA"/>
    <w:rsid w:val="000B674B"/>
    <w:rsid w:val="001966DC"/>
    <w:rsid w:val="00433F01"/>
    <w:rsid w:val="004B226D"/>
    <w:rsid w:val="004C4935"/>
    <w:rsid w:val="004F2441"/>
    <w:rsid w:val="005D74AD"/>
    <w:rsid w:val="006C4549"/>
    <w:rsid w:val="0071385C"/>
    <w:rsid w:val="00786ECC"/>
    <w:rsid w:val="00822CE1"/>
    <w:rsid w:val="00833017"/>
    <w:rsid w:val="008C0D32"/>
    <w:rsid w:val="00916229"/>
    <w:rsid w:val="0092464C"/>
    <w:rsid w:val="0095034B"/>
    <w:rsid w:val="009558FA"/>
    <w:rsid w:val="009769E1"/>
    <w:rsid w:val="00981D56"/>
    <w:rsid w:val="0098227E"/>
    <w:rsid w:val="009E111A"/>
    <w:rsid w:val="009F5930"/>
    <w:rsid w:val="00A205C1"/>
    <w:rsid w:val="00B12BB5"/>
    <w:rsid w:val="00BF767B"/>
    <w:rsid w:val="00C03585"/>
    <w:rsid w:val="00C21394"/>
    <w:rsid w:val="00C4182C"/>
    <w:rsid w:val="00C909D2"/>
    <w:rsid w:val="00CE13AB"/>
    <w:rsid w:val="00DE31F2"/>
    <w:rsid w:val="00E15F6C"/>
    <w:rsid w:val="00E54D92"/>
    <w:rsid w:val="00E925DB"/>
    <w:rsid w:val="00F167F8"/>
    <w:rsid w:val="00F26C6A"/>
    <w:rsid w:val="00FD7276"/>
    <w:rsid w:val="00FE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theme="minorBidi"/>
        <w:b/>
        <w:bCs/>
        <w:sz w:val="24"/>
        <w:szCs w:val="24"/>
        <w:u w:val="single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8FA"/>
    <w:pPr>
      <w:widowControl w:val="0"/>
    </w:pPr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Heading1">
    <w:name w:val="heading 1"/>
    <w:basedOn w:val="Normal"/>
    <w:next w:val="Normal"/>
    <w:link w:val="Heading1Char"/>
    <w:qFormat/>
    <w:rsid w:val="00C4182C"/>
    <w:pPr>
      <w:numPr>
        <w:numId w:val="15"/>
      </w:numPr>
      <w:spacing w:before="240" w:after="60"/>
      <w:outlineLvl w:val="0"/>
    </w:pPr>
    <w:rPr>
      <w:rFonts w:eastAsiaTheme="majorEastAsia"/>
      <w:b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4182C"/>
    <w:pPr>
      <w:numPr>
        <w:ilvl w:val="1"/>
        <w:numId w:val="15"/>
      </w:numPr>
      <w:spacing w:after="60" w:line="480" w:lineRule="auto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C4182C"/>
    <w:pPr>
      <w:keepNext/>
      <w:numPr>
        <w:ilvl w:val="2"/>
        <w:numId w:val="15"/>
      </w:numPr>
      <w:spacing w:before="240" w:after="60"/>
      <w:outlineLvl w:val="2"/>
    </w:pPr>
    <w:rPr>
      <w:b/>
      <w:szCs w:val="26"/>
    </w:rPr>
  </w:style>
  <w:style w:type="paragraph" w:styleId="Heading4">
    <w:name w:val="heading 4"/>
    <w:basedOn w:val="Normal"/>
    <w:next w:val="Normal"/>
    <w:link w:val="Heading4Char"/>
    <w:qFormat/>
    <w:rsid w:val="00C4182C"/>
    <w:pPr>
      <w:keepNext/>
      <w:numPr>
        <w:ilvl w:val="3"/>
        <w:numId w:val="15"/>
      </w:numPr>
      <w:spacing w:before="240" w:after="60"/>
      <w:outlineLvl w:val="3"/>
    </w:pPr>
    <w:rPr>
      <w:rFonts w:ascii="Arial" w:hAnsi="Arial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4182C"/>
    <w:pPr>
      <w:numPr>
        <w:ilvl w:val="4"/>
        <w:numId w:val="15"/>
      </w:numPr>
      <w:spacing w:before="240" w:after="60"/>
      <w:outlineLvl w:val="4"/>
    </w:pPr>
    <w:rPr>
      <w:rFonts w:ascii="Arial" w:hAnsi="Arial"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4182C"/>
    <w:pPr>
      <w:numPr>
        <w:ilvl w:val="5"/>
        <w:numId w:val="15"/>
      </w:numPr>
      <w:spacing w:before="240" w:after="6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C4182C"/>
    <w:pPr>
      <w:numPr>
        <w:ilvl w:val="6"/>
        <w:numId w:val="15"/>
      </w:numPr>
      <w:spacing w:before="240" w:after="6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C4182C"/>
    <w:pPr>
      <w:numPr>
        <w:ilvl w:val="7"/>
        <w:numId w:val="15"/>
      </w:numPr>
      <w:spacing w:before="240" w:after="6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C4182C"/>
    <w:pPr>
      <w:numPr>
        <w:ilvl w:val="8"/>
        <w:numId w:val="1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pPr>
      <w:spacing w:before="120"/>
    </w:pPr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C4182C"/>
    <w:rPr>
      <w:rFonts w:eastAsiaTheme="majorEastAsia"/>
      <w:kern w:val="32"/>
      <w:szCs w:val="32"/>
    </w:rPr>
  </w:style>
  <w:style w:type="paragraph" w:customStyle="1" w:styleId="Peternumbered">
    <w:name w:val="Peter numbered"/>
    <w:basedOn w:val="TOCHeading"/>
    <w:qFormat/>
    <w:rsid w:val="0071385C"/>
    <w:rPr>
      <w:rFonts w:eastAsia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925DB"/>
    <w:rPr>
      <w:rFonts w:cs="Times New Roman"/>
      <w:bCs w:val="0"/>
      <w:snapToGrid w:val="0"/>
      <w:szCs w:val="28"/>
      <w:u w:val="none"/>
      <w:lang w:val="en-US"/>
    </w:rPr>
  </w:style>
  <w:style w:type="character" w:customStyle="1" w:styleId="Heading3Char">
    <w:name w:val="Heading 3 Char"/>
    <w:basedOn w:val="DefaultParagraphFont"/>
    <w:link w:val="Heading3"/>
    <w:rsid w:val="004B226D"/>
    <w:rPr>
      <w:rFonts w:asciiTheme="minorHAnsi" w:eastAsia="Times New Roman" w:hAnsiTheme="minorHAnsi"/>
      <w:szCs w:val="26"/>
    </w:rPr>
  </w:style>
  <w:style w:type="character" w:customStyle="1" w:styleId="Heading4Char">
    <w:name w:val="Heading 4 Char"/>
    <w:basedOn w:val="DefaultParagraphFont"/>
    <w:link w:val="Heading4"/>
    <w:rsid w:val="0071385C"/>
    <w:rPr>
      <w:rFonts w:ascii="Arial" w:eastAsia="Times New Roman" w:hAnsi="Arial"/>
      <w:b w:val="0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ascii="Arial" w:eastAsia="Times New Roman" w:hAnsi="Arial"/>
      <w:b w:val="0"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eastAsia="Times New Roman" w:hAnsi="Arial"/>
      <w:b w:val="0"/>
      <w:szCs w:val="22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eastAsia="Times New Roman" w:hAnsi="Arial"/>
      <w:b w:val="0"/>
      <w:sz w:val="28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eastAsia="Times New Roman" w:hAnsi="Arial"/>
      <w:b w:val="0"/>
      <w:i/>
      <w:iCs/>
      <w:sz w:val="28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eastAsia="Times New Roman" w:hAnsi="Arial"/>
      <w:b w:val="0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  <w:rPr>
      <w:iCs/>
      <w:lang w:val="en-GB"/>
    </w:rPr>
  </w:style>
  <w:style w:type="paragraph" w:styleId="ListParagraph">
    <w:name w:val="List Paragraph"/>
    <w:basedOn w:val="Normal"/>
    <w:uiPriority w:val="34"/>
    <w:qFormat/>
    <w:rsid w:val="004C49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22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2CE1"/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822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2CE1"/>
    <w:rPr>
      <w:rFonts w:cs="Times New Roman"/>
      <w:b w:val="0"/>
      <w:bCs w:val="0"/>
      <w:snapToGrid w:val="0"/>
      <w:szCs w:val="20"/>
      <w:u w:val="non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Tobin, CGEIT, PMIITPSA, PMP</cp:lastModifiedBy>
  <cp:revision>7</cp:revision>
  <dcterms:created xsi:type="dcterms:W3CDTF">2015-07-07T06:23:00Z</dcterms:created>
  <dcterms:modified xsi:type="dcterms:W3CDTF">2016-04-21T14:41:00Z</dcterms:modified>
</cp:coreProperties>
</file>