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219" w:rsidRPr="009D679A" w:rsidRDefault="00A779BA" w:rsidP="009D679A">
      <w:pPr>
        <w:jc w:val="center"/>
        <w:rPr>
          <w:b/>
        </w:rPr>
      </w:pPr>
      <w:r>
        <w:rPr>
          <w:b/>
        </w:rPr>
        <w:t>R</w:t>
      </w:r>
      <w:r w:rsidR="00981A20" w:rsidRPr="009D679A">
        <w:rPr>
          <w:b/>
        </w:rPr>
        <w:t>ecommended POPI Act Policy Framework</w:t>
      </w:r>
    </w:p>
    <w:p w:rsidR="00981A20" w:rsidRDefault="00981A20"/>
    <w:p w:rsidR="00981A20" w:rsidRDefault="00981A20">
      <w:r>
        <w:t>The POPI Act</w:t>
      </w:r>
      <w:r w:rsidR="00B337D7">
        <w:t xml:space="preserve"> (POPIA)</w:t>
      </w:r>
      <w:r>
        <w:t xml:space="preserve"> (section 109(3</w:t>
      </w:r>
      <w:proofErr w:type="gramStart"/>
      <w:r>
        <w:t>)(</w:t>
      </w:r>
      <w:proofErr w:type="gramEnd"/>
      <w:r>
        <w:t xml:space="preserve">g) expects that organisations will demonstrate </w:t>
      </w:r>
      <w:r w:rsidRPr="00B337D7">
        <w:rPr>
          <w:b/>
          <w:i/>
        </w:rPr>
        <w:t>good policies, procedures and practices to protect personal information</w:t>
      </w:r>
      <w:r>
        <w:t>. Failure to do so is likely to result in increased monetary penalties and potentially lead to reputation loss.</w:t>
      </w:r>
    </w:p>
    <w:p w:rsidR="00981A20" w:rsidRDefault="00981A20">
      <w:r>
        <w:t xml:space="preserve">To address this requirement </w:t>
      </w:r>
      <w:r w:rsidR="00A779BA">
        <w:t>we recommend</w:t>
      </w:r>
      <w:r w:rsidR="00B337D7">
        <w:t>:</w:t>
      </w:r>
    </w:p>
    <w:p w:rsidR="00981A20" w:rsidRDefault="00981A20" w:rsidP="00981A20">
      <w:pPr>
        <w:pStyle w:val="ListParagraph"/>
        <w:numPr>
          <w:ilvl w:val="0"/>
          <w:numId w:val="20"/>
        </w:numPr>
      </w:pPr>
      <w:r>
        <w:t>A policy framework be established, with a formal structure and supporting documentation</w:t>
      </w:r>
    </w:p>
    <w:p w:rsidR="00981A20" w:rsidRDefault="00A779BA" w:rsidP="00981A20">
      <w:pPr>
        <w:pStyle w:val="ListParagraph"/>
        <w:numPr>
          <w:ilvl w:val="1"/>
          <w:numId w:val="20"/>
        </w:numPr>
      </w:pPr>
      <w:r>
        <w:t>Our toolkit</w:t>
      </w:r>
      <w:r w:rsidR="00981A20">
        <w:t xml:space="preserve"> supplies a policy framework guideline document</w:t>
      </w:r>
    </w:p>
    <w:p w:rsidR="00981A20" w:rsidRDefault="00A779BA" w:rsidP="00981A20">
      <w:pPr>
        <w:pStyle w:val="ListParagraph"/>
        <w:numPr>
          <w:ilvl w:val="1"/>
          <w:numId w:val="20"/>
        </w:numPr>
      </w:pPr>
      <w:r>
        <w:t>Our toolkit</w:t>
      </w:r>
      <w:r w:rsidR="00981A20">
        <w:t xml:space="preserve"> supplies a policy development guideline document</w:t>
      </w:r>
    </w:p>
    <w:p w:rsidR="00981A20" w:rsidRDefault="00981A20" w:rsidP="00981A20">
      <w:pPr>
        <w:pStyle w:val="ListParagraph"/>
        <w:numPr>
          <w:ilvl w:val="0"/>
          <w:numId w:val="20"/>
        </w:numPr>
      </w:pPr>
      <w:r>
        <w:t>An inventory of existing policies be completed</w:t>
      </w:r>
    </w:p>
    <w:p w:rsidR="00981A20" w:rsidRDefault="00A779BA" w:rsidP="00981A20">
      <w:pPr>
        <w:pStyle w:val="ListParagraph"/>
        <w:numPr>
          <w:ilvl w:val="1"/>
          <w:numId w:val="20"/>
        </w:numPr>
      </w:pPr>
      <w:r>
        <w:t>Our toolkit</w:t>
      </w:r>
      <w:r w:rsidR="00981A20">
        <w:t xml:space="preserve"> supplies a policy inventory tool which supports the development of a complete picture of existing policies and the evaluation of those policies for use in relation to POPI Act compliance</w:t>
      </w:r>
    </w:p>
    <w:p w:rsidR="00981A20" w:rsidRDefault="00981A20" w:rsidP="00981A20">
      <w:pPr>
        <w:pStyle w:val="ListParagraph"/>
        <w:numPr>
          <w:ilvl w:val="1"/>
          <w:numId w:val="20"/>
        </w:numPr>
      </w:pPr>
      <w:r>
        <w:t xml:space="preserve">This inventory takes place across all areas of the business as compliance with the POPI Act has wide ranging implications, </w:t>
      </w:r>
      <w:r w:rsidR="009D679A">
        <w:t>including but not limited to</w:t>
      </w:r>
      <w:r>
        <w:t xml:space="preserve"> Governance, Risk, Compliance, Human Resources, Information &amp; Communication Technology, Finance, Marketing</w:t>
      </w:r>
    </w:p>
    <w:p w:rsidR="00981A20" w:rsidRDefault="00981A20" w:rsidP="00981A20">
      <w:pPr>
        <w:pStyle w:val="ListParagraph"/>
        <w:numPr>
          <w:ilvl w:val="0"/>
          <w:numId w:val="20"/>
        </w:numPr>
      </w:pPr>
      <w:r>
        <w:t>An evaluation be conducted as to policy gaps and how to fill those gaps</w:t>
      </w:r>
    </w:p>
    <w:p w:rsidR="009D679A" w:rsidRDefault="00A779BA" w:rsidP="00981A20">
      <w:pPr>
        <w:pStyle w:val="ListParagraph"/>
        <w:numPr>
          <w:ilvl w:val="1"/>
          <w:numId w:val="20"/>
        </w:numPr>
      </w:pPr>
      <w:r>
        <w:t>Our toolkit</w:t>
      </w:r>
      <w:r w:rsidR="00981A20">
        <w:t xml:space="preserve"> offers a policy usage tool which supports decision making in terms of additions</w:t>
      </w:r>
      <w:r w:rsidR="009D679A">
        <w:t xml:space="preserve"> to existing policies</w:t>
      </w:r>
      <w:r w:rsidR="00981A20">
        <w:t>, replacement</w:t>
      </w:r>
      <w:r w:rsidR="009D679A">
        <w:t xml:space="preserve"> policies</w:t>
      </w:r>
      <w:r w:rsidR="00981A20">
        <w:t>, updating and merging of policies</w:t>
      </w:r>
      <w:r w:rsidR="009D679A">
        <w:t>, creation of new policies</w:t>
      </w:r>
    </w:p>
    <w:p w:rsidR="009D679A" w:rsidRDefault="009D679A" w:rsidP="009D679A">
      <w:pPr>
        <w:pStyle w:val="ListParagraph"/>
        <w:numPr>
          <w:ilvl w:val="0"/>
          <w:numId w:val="20"/>
        </w:numPr>
      </w:pPr>
      <w:r>
        <w:t xml:space="preserve">Policy templates are deployed where possible, with appropriate tailoring to meet the unique needs of each organisation to offer a high quality, low cost solution to a POPI Act-compliant policy framework. </w:t>
      </w:r>
    </w:p>
    <w:p w:rsidR="009D679A" w:rsidRDefault="00A779BA" w:rsidP="009D679A">
      <w:pPr>
        <w:pStyle w:val="ListParagraph"/>
        <w:numPr>
          <w:ilvl w:val="0"/>
          <w:numId w:val="20"/>
        </w:numPr>
      </w:pPr>
      <w:r>
        <w:t>Our toolkit</w:t>
      </w:r>
      <w:r w:rsidR="009D679A">
        <w:t xml:space="preserve"> recommends the use of an umbrella POPIA policy template, with reuse of </w:t>
      </w:r>
      <w:r>
        <w:t>e</w:t>
      </w:r>
      <w:r w:rsidR="009D679A">
        <w:t>xisting policies updated for POPI Act compliance where possible and appropriate. Existing, updated, replaced or new policies are then referenced in the POPIA umbrella policy</w:t>
      </w:r>
      <w:r w:rsidR="00B337D7">
        <w:t xml:space="preserve">. </w:t>
      </w:r>
    </w:p>
    <w:p w:rsidR="00B337D7" w:rsidRDefault="00B337D7" w:rsidP="009D679A">
      <w:pPr>
        <w:pStyle w:val="ListParagraph"/>
        <w:numPr>
          <w:ilvl w:val="0"/>
          <w:numId w:val="20"/>
        </w:numPr>
      </w:pPr>
      <w:r>
        <w:t xml:space="preserve">A number of activity logs also need to be created and these are included in the list of templates </w:t>
      </w:r>
      <w:r w:rsidR="00A779BA">
        <w:t>Our toolkit</w:t>
      </w:r>
      <w:r>
        <w:t xml:space="preserve"> can supply</w:t>
      </w:r>
      <w:bookmarkStart w:id="0" w:name="_GoBack"/>
      <w:bookmarkEnd w:id="0"/>
    </w:p>
    <w:p w:rsidR="009D679A" w:rsidRDefault="00A779BA" w:rsidP="009D679A">
      <w:pPr>
        <w:pStyle w:val="ListParagraph"/>
        <w:numPr>
          <w:ilvl w:val="0"/>
          <w:numId w:val="20"/>
        </w:numPr>
      </w:pPr>
      <w:r>
        <w:t>Our toolkit</w:t>
      </w:r>
      <w:r w:rsidR="009D679A">
        <w:t xml:space="preserve"> policy templates include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PAIA Manual Template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“Opt-in and Opt-out” considerations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Acceptable Use Policy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Act Policy Template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Act Statement on compliance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and BYOD recommendations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and Cloud recommendations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and Smart Devices recommendations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and Social Media recommendations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Audit Report log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CCTV Policy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Clean Desk Policy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Data Loss Prevention Measures Tool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lastRenderedPageBreak/>
        <w:t>POPIA Data subjects access request log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Destruction log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Direct Marketing Policy template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Disposal log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Electronic Direct Marketing Consent log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Electronic Direct Marketing Denial log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Employee compliance commitment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Guidelines when amending documents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Information Security Policy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Information Technology Equipment Disposal Policy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Ongoing POPIAA compliance awareness plan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Personal Information Backup Policy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Personal Information Sharing log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PI Owner Responsibility Undertaking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Policy development framework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Privacy Impact Assessment Key Questions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Quality PI guide *</w:t>
      </w:r>
    </w:p>
    <w:p w:rsid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Records Management Policy Template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Regulator Report log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Sample employee privacy policy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Security Compromise log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Security Compromise Management Guidelines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Self-assessment of POPIA Ongoing Compliance Monitoring checklist *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 xml:space="preserve">POPIA Staff Consent Form template * </w:t>
      </w:r>
    </w:p>
    <w:p w:rsidR="009D679A" w:rsidRPr="009D679A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Strategy template *</w:t>
      </w:r>
    </w:p>
    <w:p w:rsidR="00981A20" w:rsidRDefault="009D679A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 w:rsidRPr="009D679A">
        <w:rPr>
          <w:rFonts w:asciiTheme="minorHAnsi" w:hAnsiTheme="minorHAnsi"/>
        </w:rPr>
        <w:t>POPIA Strong Password Guidelines *</w:t>
      </w:r>
    </w:p>
    <w:p w:rsidR="00062391" w:rsidRDefault="00062391" w:rsidP="009D679A">
      <w:pPr>
        <w:pStyle w:val="ListParagraph"/>
        <w:numPr>
          <w:ilvl w:val="1"/>
          <w:numId w:val="20"/>
        </w:numPr>
        <w:rPr>
          <w:rFonts w:asciiTheme="minorHAnsi" w:hAnsiTheme="minorHAnsi"/>
        </w:rPr>
      </w:pPr>
      <w:r>
        <w:rPr>
          <w:rFonts w:asciiTheme="minorHAnsi" w:hAnsiTheme="minorHAnsi"/>
        </w:rPr>
        <w:t>*All items are copyrighted to the developers.</w:t>
      </w:r>
    </w:p>
    <w:p w:rsidR="009D679A" w:rsidRDefault="009D679A" w:rsidP="009D679A">
      <w:pPr>
        <w:pStyle w:val="ListParagraph"/>
        <w:numPr>
          <w:ilvl w:val="0"/>
          <w:numId w:val="20"/>
        </w:numPr>
        <w:rPr>
          <w:rFonts w:asciiTheme="minorHAnsi" w:hAnsiTheme="minorHAnsi"/>
        </w:rPr>
      </w:pPr>
      <w:r>
        <w:rPr>
          <w:rFonts w:asciiTheme="minorHAnsi" w:hAnsiTheme="minorHAnsi"/>
        </w:rPr>
        <w:t>That operating procedures and practices due to their unique nature per organisation are developed or revised once the policy framework has been implemented.</w:t>
      </w:r>
    </w:p>
    <w:p w:rsidR="009D679A" w:rsidRDefault="009D679A" w:rsidP="009D679A">
      <w:pPr>
        <w:rPr>
          <w:rFonts w:asciiTheme="minorHAnsi" w:hAnsiTheme="minorHAnsi"/>
        </w:rPr>
      </w:pPr>
    </w:p>
    <w:p w:rsidR="009D679A" w:rsidRPr="009D679A" w:rsidRDefault="009D679A" w:rsidP="009D679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policy framework and supporting documents </w:t>
      </w:r>
      <w:r w:rsidR="00B337D7">
        <w:rPr>
          <w:rFonts w:asciiTheme="minorHAnsi" w:hAnsiTheme="minorHAnsi"/>
        </w:rPr>
        <w:t>form roughly 40% of the contents of the broader POPIA Compliance Toolkit which is available, which covers other POPIA compliance areas such as project management tools, assessment tools and risk evaluation and reporting tools.</w:t>
      </w:r>
    </w:p>
    <w:sectPr w:rsidR="009D679A" w:rsidRPr="009D67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B6EA8"/>
    <w:multiLevelType w:val="multilevel"/>
    <w:tmpl w:val="D91EEC2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A8E34C0"/>
    <w:multiLevelType w:val="multilevel"/>
    <w:tmpl w:val="CC9C0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14B53E5"/>
    <w:multiLevelType w:val="hybridMultilevel"/>
    <w:tmpl w:val="70F27F62"/>
    <w:lvl w:ilvl="0" w:tplc="6D2C9A94">
      <w:start w:val="1"/>
      <w:numFmt w:val="decimal"/>
      <w:pStyle w:val="Peternumberedlevel1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14671"/>
    <w:multiLevelType w:val="hybridMultilevel"/>
    <w:tmpl w:val="35429FF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A361AB"/>
    <w:multiLevelType w:val="multilevel"/>
    <w:tmpl w:val="7E3E9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A735E48"/>
    <w:multiLevelType w:val="multilevel"/>
    <w:tmpl w:val="2362D21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Theme="minorHAnsi" w:hAnsiTheme="minorHAnsi" w:hint="default"/>
        <w:b/>
        <w:i w:val="0"/>
        <w:sz w:val="22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A20"/>
    <w:rsid w:val="00062391"/>
    <w:rsid w:val="00087654"/>
    <w:rsid w:val="002C16EE"/>
    <w:rsid w:val="006222C3"/>
    <w:rsid w:val="006B29FF"/>
    <w:rsid w:val="007747A1"/>
    <w:rsid w:val="007804A4"/>
    <w:rsid w:val="00831219"/>
    <w:rsid w:val="00910924"/>
    <w:rsid w:val="00981A20"/>
    <w:rsid w:val="009D679A"/>
    <w:rsid w:val="00A779BA"/>
    <w:rsid w:val="00B337D7"/>
    <w:rsid w:val="00CA2F0D"/>
    <w:rsid w:val="00D870E2"/>
    <w:rsid w:val="00DA677A"/>
    <w:rsid w:val="00E13BCE"/>
    <w:rsid w:val="00FA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2D2723-3703-4933-9ABC-3E36D9C03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theme="minorBidi"/>
        <w:sz w:val="22"/>
        <w:szCs w:val="22"/>
        <w:lang w:val="en-ZA" w:eastAsia="en-US" w:bidi="ar-SA"/>
      </w:rPr>
    </w:rPrDefault>
    <w:pPrDefault>
      <w:pPr>
        <w:spacing w:before="120" w:line="276" w:lineRule="auto"/>
        <w:jc w:val="center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endnote text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Subtitle" w:qFormat="1"/>
    <w:lsdException w:name="Body Text 2" w:semiHidden="1" w:unhideWhenUsed="1"/>
    <w:lsdException w:name="Body Text Indent 2" w:semiHidden="1" w:unhideWhenUsed="1"/>
    <w:lsdException w:name="Body Text Indent 3" w:semiHidden="1" w:unhideWhenUsed="1"/>
    <w:lsdException w:name="Hyperlink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3BCE"/>
    <w:pPr>
      <w:jc w:val="left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qFormat/>
    <w:rsid w:val="007747A1"/>
    <w:pPr>
      <w:keepNext/>
      <w:numPr>
        <w:numId w:val="19"/>
      </w:numPr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7747A1"/>
    <w:pPr>
      <w:keepNext/>
      <w:numPr>
        <w:ilvl w:val="1"/>
        <w:numId w:val="19"/>
      </w:numPr>
      <w:spacing w:before="240" w:after="60"/>
      <w:outlineLvl w:val="1"/>
    </w:pPr>
    <w:rPr>
      <w:rFonts w:eastAsiaTheme="majorEastAsia" w:cs="Arial"/>
      <w:b/>
      <w:bCs/>
      <w:iCs/>
      <w:szCs w:val="28"/>
    </w:rPr>
  </w:style>
  <w:style w:type="paragraph" w:styleId="Heading3">
    <w:name w:val="heading 3"/>
    <w:basedOn w:val="Normal"/>
    <w:link w:val="Heading3Char"/>
    <w:qFormat/>
    <w:rsid w:val="007747A1"/>
    <w:pPr>
      <w:numPr>
        <w:ilvl w:val="2"/>
        <w:numId w:val="19"/>
      </w:numPr>
      <w:spacing w:before="100" w:beforeAutospacing="1" w:after="100" w:afterAutospacing="1"/>
      <w:outlineLvl w:val="2"/>
    </w:pPr>
    <w:rPr>
      <w:b/>
      <w:bCs/>
      <w:color w:val="000000"/>
      <w:szCs w:val="27"/>
    </w:rPr>
  </w:style>
  <w:style w:type="paragraph" w:styleId="Heading4">
    <w:name w:val="heading 4"/>
    <w:basedOn w:val="Normal"/>
    <w:next w:val="Normal"/>
    <w:link w:val="Heading4Char"/>
    <w:qFormat/>
    <w:rsid w:val="007747A1"/>
    <w:pPr>
      <w:keepNext/>
      <w:numPr>
        <w:ilvl w:val="3"/>
        <w:numId w:val="15"/>
      </w:numPr>
      <w:spacing w:before="240" w:after="60"/>
      <w:outlineLvl w:val="3"/>
    </w:pPr>
    <w:rPr>
      <w:b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qFormat/>
    <w:rsid w:val="007747A1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747A1"/>
    <w:pPr>
      <w:numPr>
        <w:ilvl w:val="5"/>
        <w:numId w:val="19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7747A1"/>
    <w:pPr>
      <w:numPr>
        <w:ilvl w:val="6"/>
        <w:numId w:val="19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747A1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7747A1"/>
    <w:pPr>
      <w:numPr>
        <w:ilvl w:val="8"/>
        <w:numId w:val="19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747A1"/>
    <w:rPr>
      <w:rFonts w:ascii="Calibri" w:eastAsiaTheme="majorEastAsia" w:hAnsi="Calibri" w:cs="Arial"/>
      <w:b/>
      <w:bCs/>
      <w:iCs/>
      <w:szCs w:val="28"/>
    </w:rPr>
  </w:style>
  <w:style w:type="paragraph" w:customStyle="1" w:styleId="Peternumberedlevel1">
    <w:name w:val="Peter numbered level 1"/>
    <w:basedOn w:val="Normal"/>
    <w:link w:val="Peternumberedlevel1Char"/>
    <w:qFormat/>
    <w:rsid w:val="00087654"/>
    <w:pPr>
      <w:numPr>
        <w:numId w:val="3"/>
      </w:numPr>
    </w:pPr>
    <w:rPr>
      <w:b/>
    </w:rPr>
  </w:style>
  <w:style w:type="character" w:customStyle="1" w:styleId="Peternumberedlevel1Char">
    <w:name w:val="Peter numbered level 1 Char"/>
    <w:basedOn w:val="DefaultParagraphFont"/>
    <w:link w:val="Peternumberedlevel1"/>
    <w:rsid w:val="00087654"/>
    <w:rPr>
      <w:rFonts w:ascii="Calibri" w:hAnsi="Calibri" w:cs="Times New Roman"/>
      <w:b/>
      <w:snapToGrid w:val="0"/>
      <w:szCs w:val="20"/>
      <w:lang w:val="en-US"/>
    </w:rPr>
  </w:style>
  <w:style w:type="character" w:customStyle="1" w:styleId="Heading1Char">
    <w:name w:val="Heading 1 Char"/>
    <w:link w:val="Heading1"/>
    <w:rsid w:val="007747A1"/>
    <w:rPr>
      <w:rFonts w:ascii="Calibri" w:hAnsi="Calibri" w:cs="Arial"/>
      <w:b/>
      <w:bCs/>
      <w:kern w:val="32"/>
      <w:sz w:val="24"/>
      <w:szCs w:val="32"/>
    </w:rPr>
  </w:style>
  <w:style w:type="paragraph" w:customStyle="1" w:styleId="Normaltext">
    <w:name w:val="Normal text"/>
    <w:basedOn w:val="Normal"/>
    <w:rsid w:val="00DA677A"/>
    <w:rPr>
      <w:sz w:val="16"/>
    </w:rPr>
  </w:style>
  <w:style w:type="paragraph" w:customStyle="1" w:styleId="TextHeading">
    <w:name w:val="Text Heading"/>
    <w:basedOn w:val="Header"/>
    <w:rsid w:val="00DA677A"/>
    <w:rPr>
      <w:b/>
    </w:rPr>
  </w:style>
  <w:style w:type="paragraph" w:styleId="Header">
    <w:name w:val="header"/>
    <w:basedOn w:val="Normal"/>
    <w:link w:val="HeaderChar"/>
    <w:rsid w:val="00DA67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A677A"/>
    <w:rPr>
      <w:rFonts w:ascii="Times New Roman" w:hAnsi="Times New Roman"/>
      <w:sz w:val="20"/>
      <w:szCs w:val="20"/>
      <w:lang w:val="en-US" w:eastAsia="zh-CN"/>
    </w:rPr>
  </w:style>
  <w:style w:type="paragraph" w:customStyle="1" w:styleId="Heading1noTOC">
    <w:name w:val="Heading 1 no TOC"/>
    <w:basedOn w:val="Heading1"/>
    <w:next w:val="Normal"/>
    <w:autoRedefine/>
    <w:rsid w:val="00DA677A"/>
    <w:pPr>
      <w:numPr>
        <w:numId w:val="0"/>
      </w:numPr>
      <w:tabs>
        <w:tab w:val="left" w:pos="720"/>
      </w:tabs>
    </w:pPr>
    <w:rPr>
      <w:kern w:val="0"/>
      <w:szCs w:val="24"/>
      <w:lang w:eastAsia="zh-CN"/>
    </w:rPr>
  </w:style>
  <w:style w:type="paragraph" w:customStyle="1" w:styleId="TableHeading">
    <w:name w:val="Table Heading"/>
    <w:basedOn w:val="Normal"/>
    <w:rsid w:val="00DA677A"/>
    <w:pPr>
      <w:spacing w:before="60" w:after="60"/>
    </w:pPr>
    <w:rPr>
      <w:b/>
    </w:rPr>
  </w:style>
  <w:style w:type="character" w:customStyle="1" w:styleId="body">
    <w:name w:val="body"/>
    <w:basedOn w:val="DefaultParagraphFont"/>
    <w:rsid w:val="00DA677A"/>
  </w:style>
  <w:style w:type="character" w:customStyle="1" w:styleId="maincopy1">
    <w:name w:val="maincopy1"/>
    <w:rsid w:val="00DA677A"/>
    <w:rPr>
      <w:rFonts w:ascii="Verdana" w:hAnsi="Verdana" w:hint="default"/>
      <w:sz w:val="20"/>
      <w:szCs w:val="20"/>
    </w:rPr>
  </w:style>
  <w:style w:type="paragraph" w:customStyle="1" w:styleId="Bodylevel2CharChar">
    <w:name w:val="Body level 2 Char Char"/>
    <w:basedOn w:val="BodyCharCharChar"/>
    <w:rsid w:val="00DA677A"/>
    <w:pPr>
      <w:ind w:left="1224"/>
    </w:pPr>
  </w:style>
  <w:style w:type="paragraph" w:customStyle="1" w:styleId="BodyCharCharChar">
    <w:name w:val="Body Char Char Char"/>
    <w:basedOn w:val="Normal"/>
    <w:rsid w:val="00DA677A"/>
    <w:pPr>
      <w:spacing w:after="120"/>
      <w:ind w:left="720"/>
    </w:pPr>
  </w:style>
  <w:style w:type="paragraph" w:customStyle="1" w:styleId="Bodylevel3">
    <w:name w:val="Body level 3"/>
    <w:basedOn w:val="Normal"/>
    <w:rsid w:val="00DA677A"/>
    <w:pPr>
      <w:spacing w:after="120"/>
      <w:ind w:left="1872"/>
    </w:pPr>
  </w:style>
  <w:style w:type="paragraph" w:customStyle="1" w:styleId="TitleHead">
    <w:name w:val="Title Head"/>
    <w:basedOn w:val="Heading1"/>
    <w:rsid w:val="00DA677A"/>
    <w:pPr>
      <w:numPr>
        <w:numId w:val="0"/>
      </w:numPr>
      <w:tabs>
        <w:tab w:val="left" w:pos="720"/>
      </w:tabs>
      <w:spacing w:before="400"/>
    </w:pPr>
    <w:rPr>
      <w:kern w:val="28"/>
      <w:sz w:val="36"/>
      <w:szCs w:val="36"/>
      <w:lang w:eastAsia="zh-CN"/>
    </w:rPr>
  </w:style>
  <w:style w:type="paragraph" w:customStyle="1" w:styleId="Body0">
    <w:name w:val="Body"/>
    <w:basedOn w:val="Normal"/>
    <w:rsid w:val="00DA677A"/>
    <w:pPr>
      <w:spacing w:after="120"/>
      <w:ind w:left="720"/>
    </w:pPr>
  </w:style>
  <w:style w:type="paragraph" w:customStyle="1" w:styleId="BodyChar">
    <w:name w:val="Body Char"/>
    <w:basedOn w:val="Normal"/>
    <w:rsid w:val="00DA677A"/>
    <w:pPr>
      <w:spacing w:after="120"/>
      <w:ind w:left="720"/>
    </w:pPr>
  </w:style>
  <w:style w:type="paragraph" w:customStyle="1" w:styleId="Bodylevel2">
    <w:name w:val="Body level 2"/>
    <w:basedOn w:val="BodyChar"/>
    <w:rsid w:val="00DA677A"/>
    <w:pPr>
      <w:ind w:left="1224"/>
    </w:pPr>
  </w:style>
  <w:style w:type="paragraph" w:customStyle="1" w:styleId="Bodylevel2Char">
    <w:name w:val="Body level 2 Char"/>
    <w:basedOn w:val="BodyCharCharChar"/>
    <w:rsid w:val="00DA677A"/>
    <w:pPr>
      <w:ind w:left="1224"/>
    </w:pPr>
  </w:style>
  <w:style w:type="character" w:customStyle="1" w:styleId="Heading3Char">
    <w:name w:val="Heading 3 Char"/>
    <w:basedOn w:val="DefaultParagraphFont"/>
    <w:link w:val="Heading3"/>
    <w:rsid w:val="007747A1"/>
    <w:rPr>
      <w:rFonts w:ascii="Calibri" w:hAnsi="Calibri"/>
      <w:b/>
      <w:bCs/>
      <w:color w:val="000000"/>
      <w:szCs w:val="27"/>
    </w:rPr>
  </w:style>
  <w:style w:type="character" w:customStyle="1" w:styleId="Heading4Char">
    <w:name w:val="Heading 4 Char"/>
    <w:basedOn w:val="DefaultParagraphFont"/>
    <w:link w:val="Heading4"/>
    <w:rsid w:val="007747A1"/>
    <w:rPr>
      <w:rFonts w:ascii="Calibri" w:hAnsi="Calibri"/>
      <w:b/>
      <w:bCs/>
      <w:sz w:val="20"/>
      <w:szCs w:val="28"/>
    </w:rPr>
  </w:style>
  <w:style w:type="character" w:customStyle="1" w:styleId="Heading5Char">
    <w:name w:val="Heading 5 Char"/>
    <w:basedOn w:val="DefaultParagraphFont"/>
    <w:link w:val="Heading5"/>
    <w:rsid w:val="00DA677A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zh-CN"/>
    </w:rPr>
  </w:style>
  <w:style w:type="character" w:customStyle="1" w:styleId="Heading6Char">
    <w:name w:val="Heading 6 Char"/>
    <w:basedOn w:val="DefaultParagraphFont"/>
    <w:link w:val="Heading6"/>
    <w:rsid w:val="00DA677A"/>
    <w:rPr>
      <w:rFonts w:ascii="Times New Roman" w:eastAsia="Times New Roman" w:hAnsi="Times New Roman" w:cs="Times New Roman"/>
      <w:b/>
      <w:bCs/>
      <w:lang w:val="en-US" w:eastAsia="zh-CN"/>
    </w:rPr>
  </w:style>
  <w:style w:type="character" w:customStyle="1" w:styleId="Heading7Char">
    <w:name w:val="Heading 7 Char"/>
    <w:basedOn w:val="DefaultParagraphFont"/>
    <w:link w:val="Heading7"/>
    <w:rsid w:val="00DA677A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customStyle="1" w:styleId="Heading8Char">
    <w:name w:val="Heading 8 Char"/>
    <w:basedOn w:val="DefaultParagraphFont"/>
    <w:link w:val="Heading8"/>
    <w:rsid w:val="00DA677A"/>
    <w:rPr>
      <w:rFonts w:ascii="Times New Roman" w:eastAsia="Times New Roman" w:hAnsi="Times New Roman" w:cs="Times New Roman"/>
      <w:i/>
      <w:iCs/>
      <w:sz w:val="20"/>
      <w:szCs w:val="20"/>
      <w:lang w:val="en-US" w:eastAsia="zh-CN"/>
    </w:rPr>
  </w:style>
  <w:style w:type="character" w:customStyle="1" w:styleId="Heading9Char">
    <w:name w:val="Heading 9 Char"/>
    <w:basedOn w:val="DefaultParagraphFont"/>
    <w:link w:val="Heading9"/>
    <w:rsid w:val="00DA677A"/>
    <w:rPr>
      <w:rFonts w:eastAsia="Times New Roman" w:cs="Arial"/>
      <w:lang w:val="en-US" w:eastAsia="zh-CN"/>
    </w:rPr>
  </w:style>
  <w:style w:type="paragraph" w:styleId="TOC1">
    <w:name w:val="toc 1"/>
    <w:basedOn w:val="Normal"/>
    <w:next w:val="Normal"/>
    <w:autoRedefine/>
    <w:uiPriority w:val="39"/>
    <w:qFormat/>
    <w:rsid w:val="00DA677A"/>
  </w:style>
  <w:style w:type="paragraph" w:styleId="TOC2">
    <w:name w:val="toc 2"/>
    <w:basedOn w:val="Normal"/>
    <w:next w:val="Normal"/>
    <w:autoRedefine/>
    <w:uiPriority w:val="39"/>
    <w:qFormat/>
    <w:rsid w:val="00DA677A"/>
    <w:pPr>
      <w:ind w:left="240"/>
    </w:pPr>
  </w:style>
  <w:style w:type="paragraph" w:styleId="TOC3">
    <w:name w:val="toc 3"/>
    <w:basedOn w:val="Normal"/>
    <w:next w:val="Normal"/>
    <w:autoRedefine/>
    <w:qFormat/>
    <w:rsid w:val="00DA677A"/>
    <w:pPr>
      <w:ind w:left="480"/>
    </w:pPr>
  </w:style>
  <w:style w:type="paragraph" w:styleId="CommentText">
    <w:name w:val="annotation text"/>
    <w:basedOn w:val="Normal"/>
    <w:link w:val="CommentTextChar"/>
    <w:semiHidden/>
    <w:rsid w:val="00DA677A"/>
  </w:style>
  <w:style w:type="character" w:customStyle="1" w:styleId="CommentTextChar">
    <w:name w:val="Comment Text Char"/>
    <w:basedOn w:val="DefaultParagraphFont"/>
    <w:link w:val="CommentText"/>
    <w:semiHidden/>
    <w:rsid w:val="00DA677A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rsid w:val="00DA677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A677A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styleId="CommentReference">
    <w:name w:val="annotation reference"/>
    <w:semiHidden/>
    <w:rsid w:val="00DA677A"/>
    <w:rPr>
      <w:sz w:val="16"/>
      <w:szCs w:val="16"/>
    </w:rPr>
  </w:style>
  <w:style w:type="character" w:styleId="PageNumber">
    <w:name w:val="page number"/>
    <w:basedOn w:val="DefaultParagraphFont"/>
    <w:rsid w:val="00DA677A"/>
  </w:style>
  <w:style w:type="paragraph" w:styleId="EndnoteText">
    <w:name w:val="endnote text"/>
    <w:basedOn w:val="Normal"/>
    <w:link w:val="EndnoteTextChar"/>
    <w:semiHidden/>
    <w:rsid w:val="00DA677A"/>
  </w:style>
  <w:style w:type="character" w:customStyle="1" w:styleId="EndnoteTextChar">
    <w:name w:val="Endnote Text Char"/>
    <w:basedOn w:val="DefaultParagraphFont"/>
    <w:link w:val="EndnoteText"/>
    <w:semiHidden/>
    <w:rsid w:val="00DA677A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Title">
    <w:name w:val="Title"/>
    <w:basedOn w:val="Normal"/>
    <w:link w:val="TitleChar"/>
    <w:qFormat/>
    <w:rsid w:val="00DA677A"/>
    <w:pPr>
      <w:spacing w:before="240" w:after="60"/>
      <w:outlineLvl w:val="0"/>
    </w:pPr>
    <w:rPr>
      <w:b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DA677A"/>
    <w:rPr>
      <w:rFonts w:eastAsia="Times New Roman" w:cs="Times New Roman"/>
      <w:b/>
      <w:kern w:val="28"/>
      <w:sz w:val="32"/>
      <w:szCs w:val="20"/>
      <w:lang w:val="en-US" w:eastAsia="zh-CN"/>
    </w:rPr>
  </w:style>
  <w:style w:type="paragraph" w:styleId="BodyText">
    <w:name w:val="Body Text"/>
    <w:basedOn w:val="Normal"/>
    <w:link w:val="BodyTextChar"/>
    <w:rsid w:val="00DA677A"/>
    <w:pPr>
      <w:tabs>
        <w:tab w:val="left" w:pos="360"/>
      </w:tabs>
    </w:pPr>
  </w:style>
  <w:style w:type="character" w:customStyle="1" w:styleId="BodyTextChar">
    <w:name w:val="Body Text Char"/>
    <w:basedOn w:val="DefaultParagraphFont"/>
    <w:link w:val="BodyText"/>
    <w:rsid w:val="00DA677A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rsid w:val="00DA677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A677A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BodyText2">
    <w:name w:val="Body Text 2"/>
    <w:basedOn w:val="Normal"/>
    <w:link w:val="BodyText2Char"/>
    <w:rsid w:val="00DA677A"/>
  </w:style>
  <w:style w:type="character" w:customStyle="1" w:styleId="BodyText2Char">
    <w:name w:val="Body Text 2 Char"/>
    <w:basedOn w:val="DefaultParagraphFont"/>
    <w:link w:val="BodyText2"/>
    <w:rsid w:val="00DA677A"/>
    <w:rPr>
      <w:rFonts w:eastAsia="Times New Roman" w:cs="Times New Roman"/>
      <w:sz w:val="20"/>
      <w:szCs w:val="20"/>
      <w:lang w:val="en-US" w:eastAsia="zh-CN"/>
    </w:rPr>
  </w:style>
  <w:style w:type="paragraph" w:styleId="BodyTextIndent2">
    <w:name w:val="Body Text Indent 2"/>
    <w:basedOn w:val="Normal"/>
    <w:link w:val="BodyTextIndent2Char"/>
    <w:rsid w:val="00DA677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A677A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BodyTextIndent3">
    <w:name w:val="Body Text Indent 3"/>
    <w:basedOn w:val="Normal"/>
    <w:link w:val="BodyTextIndent3Char"/>
    <w:rsid w:val="00DA677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A677A"/>
    <w:rPr>
      <w:rFonts w:ascii="Times New Roman" w:eastAsia="Times New Roman" w:hAnsi="Times New Roman" w:cs="Times New Roman"/>
      <w:sz w:val="16"/>
      <w:szCs w:val="16"/>
      <w:lang w:val="en-US" w:eastAsia="zh-CN"/>
    </w:rPr>
  </w:style>
  <w:style w:type="character" w:styleId="Hyperlink">
    <w:name w:val="Hyperlink"/>
    <w:uiPriority w:val="99"/>
    <w:rsid w:val="00DA677A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A67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A677A"/>
    <w:rPr>
      <w:rFonts w:ascii="Times New Roman" w:eastAsia="Times New Roman" w:hAnsi="Times New Roman" w:cs="Times New Roman"/>
      <w:b/>
      <w:bCs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semiHidden/>
    <w:rsid w:val="00DA67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677A"/>
    <w:rPr>
      <w:rFonts w:ascii="Tahoma" w:eastAsia="Times New Roman" w:hAnsi="Tahoma" w:cs="Tahoma"/>
      <w:sz w:val="16"/>
      <w:szCs w:val="16"/>
      <w:lang w:val="en-US" w:eastAsia="zh-CN"/>
    </w:rPr>
  </w:style>
  <w:style w:type="table" w:styleId="TableGrid">
    <w:name w:val="Table Grid"/>
    <w:basedOn w:val="TableNormal"/>
    <w:rsid w:val="00DA677A"/>
    <w:rPr>
      <w:rFonts w:ascii="Times New Roman" w:hAnsi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ter7Novh3">
    <w:name w:val="Peter 7 Nov h3"/>
    <w:basedOn w:val="Heading3"/>
    <w:qFormat/>
    <w:rsid w:val="006B29FF"/>
  </w:style>
  <w:style w:type="paragraph" w:styleId="ListParagraph">
    <w:name w:val="List Paragraph"/>
    <w:basedOn w:val="Normal"/>
    <w:uiPriority w:val="34"/>
    <w:qFormat/>
    <w:rsid w:val="00981A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4</cp:revision>
  <dcterms:created xsi:type="dcterms:W3CDTF">2018-04-17T04:42:00Z</dcterms:created>
  <dcterms:modified xsi:type="dcterms:W3CDTF">2018-04-17T06:44:00Z</dcterms:modified>
</cp:coreProperties>
</file>